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2880"/>
        <w:gridCol w:w="6120"/>
      </w:tblGrid>
      <w:tr w:rsidR="00644990" w:rsidRPr="00644990" w14:paraId="6876813D" w14:textId="77777777" w:rsidTr="006C3D77">
        <w:trPr>
          <w:jc w:val="center"/>
        </w:trPr>
        <w:tc>
          <w:tcPr>
            <w:tcW w:w="2880" w:type="dxa"/>
            <w:shd w:val="clear" w:color="auto" w:fill="auto"/>
          </w:tcPr>
          <w:p w14:paraId="79AE0B6B" w14:textId="77777777" w:rsidR="00D16BE9" w:rsidRPr="00644990" w:rsidRDefault="00D16BE9" w:rsidP="006C3D77">
            <w:pPr>
              <w:pStyle w:val="Bodytext20"/>
              <w:shd w:val="clear" w:color="auto" w:fill="auto"/>
              <w:spacing w:after="0"/>
              <w:ind w:firstLine="0"/>
              <w:jc w:val="center"/>
              <w:rPr>
                <w:b/>
                <w:color w:val="auto"/>
              </w:rPr>
            </w:pPr>
            <w:r w:rsidRPr="00644990">
              <w:rPr>
                <w:b/>
                <w:color w:val="auto"/>
              </w:rPr>
              <w:t>BỘ Y TẾ</w:t>
            </w:r>
          </w:p>
          <w:p w14:paraId="24F8F51E" w14:textId="77777777" w:rsidR="00614FD4" w:rsidRPr="00644990" w:rsidRDefault="00614FD4" w:rsidP="006C3D77">
            <w:pPr>
              <w:pStyle w:val="BodyText"/>
              <w:shd w:val="clear" w:color="auto" w:fill="auto"/>
              <w:spacing w:after="0"/>
              <w:jc w:val="center"/>
              <w:rPr>
                <w:color w:val="auto"/>
              </w:rPr>
            </w:pPr>
            <w:r w:rsidRPr="00644990">
              <w:rPr>
                <w:noProof/>
                <w:color w:val="auto"/>
              </w:rPr>
              <mc:AlternateContent>
                <mc:Choice Requires="wps">
                  <w:drawing>
                    <wp:anchor distT="0" distB="0" distL="114300" distR="114300" simplePos="0" relativeHeight="251660288" behindDoc="0" locked="0" layoutInCell="1" allowOverlap="1" wp14:anchorId="72313056" wp14:editId="641843DC">
                      <wp:simplePos x="0" y="0"/>
                      <wp:positionH relativeFrom="column">
                        <wp:posOffset>666750</wp:posOffset>
                      </wp:positionH>
                      <wp:positionV relativeFrom="paragraph">
                        <wp:posOffset>8890</wp:posOffset>
                      </wp:positionV>
                      <wp:extent cx="3810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381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D3B183"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7pt" to="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" strokecolor="black [3213]" strokeweight=".5pt">
                      <v:stroke joinstyle="miter"/>
                    </v:line>
                  </w:pict>
                </mc:Fallback>
              </mc:AlternateContent>
            </w:r>
          </w:p>
          <w:p w14:paraId="7DE05371" w14:textId="77777777" w:rsidR="00614FD4" w:rsidRPr="00644990" w:rsidRDefault="00614FD4" w:rsidP="006C3D77">
            <w:pPr>
              <w:pStyle w:val="BodyText"/>
              <w:shd w:val="clear" w:color="auto" w:fill="auto"/>
              <w:spacing w:after="0"/>
              <w:jc w:val="center"/>
              <w:rPr>
                <w:color w:val="auto"/>
              </w:rPr>
            </w:pPr>
          </w:p>
          <w:p w14:paraId="21EE0433" w14:textId="71BAA58A" w:rsidR="00D16BE9" w:rsidRPr="00644990" w:rsidRDefault="00D16BE9" w:rsidP="006C3D77">
            <w:pPr>
              <w:pStyle w:val="BodyText"/>
              <w:shd w:val="clear" w:color="auto" w:fill="auto"/>
              <w:spacing w:after="0"/>
              <w:jc w:val="center"/>
              <w:rPr>
                <w:color w:val="auto"/>
              </w:rPr>
            </w:pPr>
            <w:r w:rsidRPr="00644990">
              <w:rPr>
                <w:color w:val="auto"/>
              </w:rPr>
              <w:t xml:space="preserve">Số:   </w:t>
            </w:r>
            <w:r w:rsidR="00271CEB" w:rsidRPr="00644990">
              <w:rPr>
                <w:color w:val="auto"/>
              </w:rPr>
              <w:t xml:space="preserve">  </w:t>
            </w:r>
            <w:r w:rsidRPr="00644990">
              <w:rPr>
                <w:color w:val="auto"/>
              </w:rPr>
              <w:t xml:space="preserve"> /2021/TT-BYT</w:t>
            </w:r>
          </w:p>
        </w:tc>
        <w:tc>
          <w:tcPr>
            <w:tcW w:w="6120" w:type="dxa"/>
            <w:shd w:val="clear" w:color="auto" w:fill="auto"/>
          </w:tcPr>
          <w:p w14:paraId="4323CC9A" w14:textId="77777777" w:rsidR="00D16BE9" w:rsidRPr="00644990" w:rsidRDefault="00D16BE9" w:rsidP="006C3D77">
            <w:pPr>
              <w:pStyle w:val="Bodytext20"/>
              <w:shd w:val="clear" w:color="auto" w:fill="auto"/>
              <w:spacing w:after="0"/>
              <w:ind w:firstLine="0"/>
              <w:jc w:val="center"/>
              <w:rPr>
                <w:b/>
                <w:bCs/>
                <w:color w:val="auto"/>
              </w:rPr>
            </w:pPr>
            <w:r w:rsidRPr="00644990">
              <w:rPr>
                <w:b/>
                <w:bCs/>
                <w:color w:val="auto"/>
              </w:rPr>
              <w:t>CỘNG HÒA XÃ HỘI CHỦ NGHĨA VIỆT NAM</w:t>
            </w:r>
            <w:r w:rsidRPr="00644990">
              <w:rPr>
                <w:b/>
                <w:bCs/>
                <w:color w:val="auto"/>
              </w:rPr>
              <w:br/>
              <w:t>Độc lập - Tự do - Hạnh phúc</w:t>
            </w:r>
          </w:p>
          <w:p w14:paraId="4F6D1300" w14:textId="77777777" w:rsidR="00614FD4" w:rsidRPr="00644990" w:rsidRDefault="00614FD4" w:rsidP="00D16BE9">
            <w:pPr>
              <w:pStyle w:val="Bodytext20"/>
              <w:shd w:val="clear" w:color="auto" w:fill="auto"/>
              <w:spacing w:after="0"/>
              <w:ind w:firstLine="0"/>
              <w:jc w:val="right"/>
              <w:rPr>
                <w:i/>
                <w:iCs/>
                <w:color w:val="auto"/>
              </w:rPr>
            </w:pPr>
            <w:r w:rsidRPr="00644990">
              <w:rPr>
                <w:i/>
                <w:iCs/>
                <w:noProof/>
                <w:color w:val="auto"/>
              </w:rPr>
              <mc:AlternateContent>
                <mc:Choice Requires="wps">
                  <w:drawing>
                    <wp:anchor distT="0" distB="0" distL="114300" distR="114300" simplePos="0" relativeHeight="251661312" behindDoc="0" locked="0" layoutInCell="1" allowOverlap="1" wp14:anchorId="11F02910" wp14:editId="456411FF">
                      <wp:simplePos x="0" y="0"/>
                      <wp:positionH relativeFrom="column">
                        <wp:posOffset>799465</wp:posOffset>
                      </wp:positionH>
                      <wp:positionV relativeFrom="paragraph">
                        <wp:posOffset>42660</wp:posOffset>
                      </wp:positionV>
                      <wp:extent cx="2131621"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21316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A91DA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95pt,3.35pt" to="230.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" strokecolor="black [3213]" strokeweight=".5pt">
                      <v:stroke joinstyle="miter"/>
                    </v:line>
                  </w:pict>
                </mc:Fallback>
              </mc:AlternateContent>
            </w:r>
          </w:p>
          <w:p w14:paraId="267EC5C9" w14:textId="77777777" w:rsidR="00D16BE9" w:rsidRPr="00644990" w:rsidRDefault="00D16BE9" w:rsidP="00614FD4">
            <w:pPr>
              <w:pStyle w:val="Bodytext20"/>
              <w:shd w:val="clear" w:color="auto" w:fill="auto"/>
              <w:spacing w:after="0"/>
              <w:ind w:firstLine="0"/>
              <w:jc w:val="center"/>
              <w:rPr>
                <w:color w:val="auto"/>
              </w:rPr>
            </w:pPr>
            <w:r w:rsidRPr="00644990">
              <w:rPr>
                <w:i/>
                <w:iCs/>
                <w:color w:val="auto"/>
              </w:rPr>
              <w:t>Hà Nội, ngày</w:t>
            </w:r>
            <w:r w:rsidRPr="00644990">
              <w:rPr>
                <w:i/>
                <w:iCs/>
                <w:color w:val="auto"/>
                <w:lang w:bidi="en-US"/>
              </w:rPr>
              <w:t xml:space="preserve">     </w:t>
            </w:r>
            <w:r w:rsidRPr="00644990">
              <w:rPr>
                <w:rFonts w:eastAsia="Arial"/>
                <w:color w:val="auto"/>
              </w:rPr>
              <w:t xml:space="preserve"> </w:t>
            </w:r>
            <w:r w:rsidRPr="00644990">
              <w:rPr>
                <w:i/>
                <w:iCs/>
                <w:color w:val="auto"/>
              </w:rPr>
              <w:t>tháng     năm 2021</w:t>
            </w:r>
          </w:p>
        </w:tc>
      </w:tr>
    </w:tbl>
    <w:p w14:paraId="2548FD78" w14:textId="77777777" w:rsidR="00D16BE9" w:rsidRPr="00644990" w:rsidRDefault="00E93CFB" w:rsidP="00D16BE9">
      <w:pPr>
        <w:pStyle w:val="Bodytext20"/>
        <w:shd w:val="clear" w:color="auto" w:fill="auto"/>
        <w:spacing w:after="0"/>
        <w:ind w:firstLine="0"/>
        <w:rPr>
          <w:b/>
          <w:bCs/>
          <w:color w:val="auto"/>
        </w:rPr>
      </w:pPr>
      <w:r w:rsidRPr="00644990">
        <w:rPr>
          <w:b/>
          <w:bCs/>
          <w:noProof/>
          <w:color w:val="auto"/>
        </w:rPr>
        <mc:AlternateContent>
          <mc:Choice Requires="wps">
            <w:drawing>
              <wp:anchor distT="0" distB="0" distL="114300" distR="114300" simplePos="0" relativeHeight="251659264" behindDoc="0" locked="0" layoutInCell="1" allowOverlap="1" wp14:anchorId="2B132C8B" wp14:editId="19A0A039">
                <wp:simplePos x="0" y="0"/>
                <wp:positionH relativeFrom="column">
                  <wp:posOffset>-701483</wp:posOffset>
                </wp:positionH>
                <wp:positionV relativeFrom="paragraph">
                  <wp:posOffset>219519</wp:posOffset>
                </wp:positionV>
                <wp:extent cx="1401288" cy="461175"/>
                <wp:effectExtent l="0" t="0" r="27940" b="15240"/>
                <wp:wrapNone/>
                <wp:docPr id="1" name="Rectangle 1"/>
                <wp:cNvGraphicFramePr/>
                <a:graphic xmlns:a="http://schemas.openxmlformats.org/drawingml/2006/main">
                  <a:graphicData uri="http://schemas.microsoft.com/office/word/2010/wordprocessingShape">
                    <wps:wsp>
                      <wps:cNvSpPr/>
                      <wps:spPr>
                        <a:xfrm>
                          <a:off x="0" y="0"/>
                          <a:ext cx="1401288" cy="461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B37694" w14:textId="47405ABD" w:rsidR="006C3D77" w:rsidRDefault="006C3D77" w:rsidP="00D16BE9">
                            <w:pPr>
                              <w:jc w:val="center"/>
                              <w:rPr>
                                <w:rFonts w:ascii="Times New Roman" w:hAnsi="Times New Roman"/>
                                <w:b/>
                                <w:color w:val="000000" w:themeColor="text1"/>
                                <w:lang w:val="en-US"/>
                              </w:rPr>
                            </w:pPr>
                            <w:r w:rsidRPr="0068103B">
                              <w:rPr>
                                <w:rFonts w:ascii="Times New Roman" w:hAnsi="Times New Roman"/>
                                <w:b/>
                                <w:color w:val="000000" w:themeColor="text1"/>
                                <w:lang w:val="en-US"/>
                              </w:rPr>
                              <w:t xml:space="preserve">DỰ THẢO </w:t>
                            </w:r>
                            <w:r w:rsidR="00972EF5">
                              <w:rPr>
                                <w:rFonts w:ascii="Times New Roman" w:hAnsi="Times New Roman"/>
                                <w:b/>
                                <w:color w:val="000000" w:themeColor="text1"/>
                                <w:lang w:val="en-US"/>
                              </w:rPr>
                              <w:t>3</w:t>
                            </w:r>
                          </w:p>
                          <w:p w14:paraId="08D8BB46" w14:textId="6B7F67C7" w:rsidR="006C3D77" w:rsidRPr="0068103B" w:rsidRDefault="00260CDD" w:rsidP="00D16BE9">
                            <w:pPr>
                              <w:jc w:val="center"/>
                              <w:rPr>
                                <w:rFonts w:ascii="Times New Roman" w:hAnsi="Times New Roman"/>
                                <w:b/>
                                <w:color w:val="000000" w:themeColor="text1"/>
                                <w:lang w:val="en-US"/>
                              </w:rPr>
                            </w:pPr>
                            <w:r>
                              <w:rPr>
                                <w:rFonts w:ascii="Times New Roman" w:hAnsi="Times New Roman"/>
                                <w:b/>
                                <w:color w:val="000000" w:themeColor="text1"/>
                                <w:lang w:val="en-US"/>
                              </w:rPr>
                              <w:t>NGÀY 0</w:t>
                            </w:r>
                            <w:r w:rsidR="00EB3CC8">
                              <w:rPr>
                                <w:rFonts w:ascii="Times New Roman" w:hAnsi="Times New Roman"/>
                                <w:b/>
                                <w:color w:val="000000" w:themeColor="text1"/>
                                <w:lang w:val="en-US"/>
                              </w:rPr>
                              <w:t>5</w:t>
                            </w:r>
                            <w:r w:rsidR="006C3D77">
                              <w:rPr>
                                <w:rFonts w:ascii="Times New Roman" w:hAnsi="Times New Roman"/>
                                <w:b/>
                                <w:color w:val="000000" w:themeColor="text1"/>
                                <w:lang w:val="en-US"/>
                              </w:rPr>
                              <w:t>/</w:t>
                            </w:r>
                            <w:r>
                              <w:rPr>
                                <w:rFonts w:ascii="Times New Roman" w:hAnsi="Times New Roman"/>
                                <w:b/>
                                <w:color w:val="000000" w:themeColor="text1"/>
                                <w:lang w:val="en-US"/>
                              </w:rPr>
                              <w:t>10</w:t>
                            </w:r>
                            <w:r w:rsidR="006C3D77">
                              <w:rPr>
                                <w:rFonts w:ascii="Times New Roman" w:hAnsi="Times New Roman"/>
                                <w:b/>
                                <w:color w:val="000000" w:themeColor="text1"/>
                                <w:lang w:val="en-US"/>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132C8B" id="Rectangle 1" o:spid="_x0000_s1026" style="position:absolute;left:0;text-align:left;margin-left:-55.25pt;margin-top:17.3pt;width:110.35pt;height:3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" fillcolor="white [3212]" strokecolor="#1f4d78 [1604]" strokeweight="1pt">
                <v:textbox>
                  <w:txbxContent>
                    <w:p w14:paraId="1DB37694" w14:textId="47405ABD" w:rsidR="006C3D77" w:rsidRDefault="006C3D77" w:rsidP="00D16BE9">
                      <w:pPr>
                        <w:jc w:val="center"/>
                        <w:rPr>
                          <w:rFonts w:ascii="Times New Roman" w:hAnsi="Times New Roman"/>
                          <w:b/>
                          <w:color w:val="000000" w:themeColor="text1"/>
                          <w:lang w:val="en-US"/>
                        </w:rPr>
                      </w:pPr>
                      <w:r w:rsidRPr="0068103B">
                        <w:rPr>
                          <w:rFonts w:ascii="Times New Roman" w:hAnsi="Times New Roman"/>
                          <w:b/>
                          <w:color w:val="000000" w:themeColor="text1"/>
                          <w:lang w:val="en-US"/>
                        </w:rPr>
                        <w:t xml:space="preserve">DỰ THẢO </w:t>
                      </w:r>
                      <w:r w:rsidR="00972EF5">
                        <w:rPr>
                          <w:rFonts w:ascii="Times New Roman" w:hAnsi="Times New Roman"/>
                          <w:b/>
                          <w:color w:val="000000" w:themeColor="text1"/>
                          <w:lang w:val="en-US"/>
                        </w:rPr>
                        <w:t>3</w:t>
                      </w:r>
                    </w:p>
                    <w:p w14:paraId="08D8BB46" w14:textId="6B7F67C7" w:rsidR="006C3D77" w:rsidRPr="0068103B" w:rsidRDefault="00260CDD" w:rsidP="00D16BE9">
                      <w:pPr>
                        <w:jc w:val="center"/>
                        <w:rPr>
                          <w:rFonts w:ascii="Times New Roman" w:hAnsi="Times New Roman"/>
                          <w:b/>
                          <w:color w:val="000000" w:themeColor="text1"/>
                          <w:lang w:val="en-US"/>
                        </w:rPr>
                      </w:pPr>
                      <w:r>
                        <w:rPr>
                          <w:rFonts w:ascii="Times New Roman" w:hAnsi="Times New Roman"/>
                          <w:b/>
                          <w:color w:val="000000" w:themeColor="text1"/>
                          <w:lang w:val="en-US"/>
                        </w:rPr>
                        <w:t>NGÀY 0</w:t>
                      </w:r>
                      <w:r w:rsidR="00EB3CC8">
                        <w:rPr>
                          <w:rFonts w:ascii="Times New Roman" w:hAnsi="Times New Roman"/>
                          <w:b/>
                          <w:color w:val="000000" w:themeColor="text1"/>
                          <w:lang w:val="en-US"/>
                        </w:rPr>
                        <w:t>5</w:t>
                      </w:r>
                      <w:r w:rsidR="006C3D77">
                        <w:rPr>
                          <w:rFonts w:ascii="Times New Roman" w:hAnsi="Times New Roman"/>
                          <w:b/>
                          <w:color w:val="000000" w:themeColor="text1"/>
                          <w:lang w:val="en-US"/>
                        </w:rPr>
                        <w:t>/</w:t>
                      </w:r>
                      <w:r>
                        <w:rPr>
                          <w:rFonts w:ascii="Times New Roman" w:hAnsi="Times New Roman"/>
                          <w:b/>
                          <w:color w:val="000000" w:themeColor="text1"/>
                          <w:lang w:val="en-US"/>
                        </w:rPr>
                        <w:t>10</w:t>
                      </w:r>
                      <w:r w:rsidR="006C3D77">
                        <w:rPr>
                          <w:rFonts w:ascii="Times New Roman" w:hAnsi="Times New Roman"/>
                          <w:b/>
                          <w:color w:val="000000" w:themeColor="text1"/>
                          <w:lang w:val="en-US"/>
                        </w:rPr>
                        <w:t>/2021</w:t>
                      </w:r>
                    </w:p>
                  </w:txbxContent>
                </v:textbox>
              </v:rect>
            </w:pict>
          </mc:Fallback>
        </mc:AlternateContent>
      </w:r>
    </w:p>
    <w:p w14:paraId="7C30A52E" w14:textId="77777777" w:rsidR="00E93CFB" w:rsidRPr="00644990" w:rsidRDefault="00E93CFB" w:rsidP="00D16BE9">
      <w:pPr>
        <w:pStyle w:val="Bodytext20"/>
        <w:shd w:val="clear" w:color="auto" w:fill="auto"/>
        <w:spacing w:after="0"/>
        <w:ind w:firstLine="0"/>
        <w:jc w:val="center"/>
        <w:rPr>
          <w:b/>
          <w:bCs/>
          <w:color w:val="auto"/>
        </w:rPr>
      </w:pPr>
    </w:p>
    <w:p w14:paraId="713DC594" w14:textId="77777777" w:rsidR="00D16BE9" w:rsidRPr="00644990" w:rsidRDefault="00D16BE9" w:rsidP="00D16BE9">
      <w:pPr>
        <w:pStyle w:val="Bodytext20"/>
        <w:shd w:val="clear" w:color="auto" w:fill="auto"/>
        <w:spacing w:after="0"/>
        <w:ind w:firstLine="0"/>
        <w:jc w:val="center"/>
        <w:rPr>
          <w:b/>
          <w:bCs/>
          <w:color w:val="auto"/>
        </w:rPr>
      </w:pPr>
      <w:r w:rsidRPr="00644990">
        <w:rPr>
          <w:b/>
          <w:bCs/>
          <w:color w:val="auto"/>
        </w:rPr>
        <w:t>THÔNG TƯ</w:t>
      </w:r>
    </w:p>
    <w:p w14:paraId="69D19FF2" w14:textId="77777777" w:rsidR="00E93CFB" w:rsidRPr="00644990" w:rsidRDefault="00E93CFB" w:rsidP="00D16BE9">
      <w:pPr>
        <w:pStyle w:val="Bodytext20"/>
        <w:shd w:val="clear" w:color="auto" w:fill="auto"/>
        <w:spacing w:after="0"/>
        <w:ind w:firstLine="0"/>
        <w:jc w:val="center"/>
        <w:rPr>
          <w:color w:val="auto"/>
        </w:rPr>
      </w:pPr>
    </w:p>
    <w:p w14:paraId="29F1F762" w14:textId="012F0988" w:rsidR="00D16BE9" w:rsidRPr="00644990" w:rsidRDefault="00D16BE9" w:rsidP="00A77316">
      <w:pPr>
        <w:pStyle w:val="Bodytext20"/>
        <w:shd w:val="clear" w:color="auto" w:fill="auto"/>
        <w:spacing w:after="0"/>
        <w:ind w:firstLine="0"/>
        <w:jc w:val="center"/>
        <w:rPr>
          <w:b/>
          <w:bCs/>
          <w:color w:val="auto"/>
        </w:rPr>
      </w:pPr>
      <w:r w:rsidRPr="00644990">
        <w:rPr>
          <w:b/>
          <w:bCs/>
          <w:color w:val="auto"/>
        </w:rPr>
        <w:t xml:space="preserve">Sửa đổi, bổ sung một số điều </w:t>
      </w:r>
      <w:r w:rsidR="000500D9" w:rsidRPr="00644990">
        <w:rPr>
          <w:b/>
          <w:bCs/>
          <w:color w:val="auto"/>
        </w:rPr>
        <w:t xml:space="preserve">tại </w:t>
      </w:r>
      <w:r w:rsidRPr="00644990">
        <w:rPr>
          <w:b/>
          <w:bCs/>
          <w:color w:val="auto"/>
        </w:rPr>
        <w:t>Thông tư số 32/2018/TT-BYT ngày 12 tháng 11 năm 2018 của Bộ trưởng Bộ Y tế quy định về đăng ký lưu hành thuốc, nguyên liệu làm thuốc</w:t>
      </w:r>
    </w:p>
    <w:p w14:paraId="42AC36BB" w14:textId="77777777" w:rsidR="00D16BE9" w:rsidRPr="00644990" w:rsidRDefault="00D16BE9" w:rsidP="00D16BE9">
      <w:pPr>
        <w:pStyle w:val="Bodytext20"/>
        <w:shd w:val="clear" w:color="auto" w:fill="auto"/>
        <w:spacing w:after="0"/>
        <w:ind w:firstLine="0"/>
        <w:jc w:val="center"/>
        <w:rPr>
          <w:bCs/>
          <w:color w:val="auto"/>
        </w:rPr>
      </w:pPr>
      <w:r w:rsidRPr="00644990">
        <w:rPr>
          <w:bCs/>
          <w:color w:val="auto"/>
        </w:rPr>
        <w:t>-----------------</w:t>
      </w:r>
    </w:p>
    <w:p w14:paraId="63BC6C63" w14:textId="77777777" w:rsidR="00213B1D" w:rsidRPr="00644990" w:rsidRDefault="00213B1D" w:rsidP="00213B1D">
      <w:pPr>
        <w:pStyle w:val="Bodytext20"/>
        <w:ind w:firstLine="720"/>
        <w:rPr>
          <w:i/>
          <w:iCs/>
          <w:color w:val="auto"/>
        </w:rPr>
      </w:pPr>
      <w:r w:rsidRPr="00644990">
        <w:rPr>
          <w:i/>
          <w:iCs/>
          <w:color w:val="auto"/>
        </w:rPr>
        <w:t>Căn cứ Luật dược ngày 06 tháng 4 năm 2016;</w:t>
      </w:r>
    </w:p>
    <w:p w14:paraId="4E97049B" w14:textId="77777777" w:rsidR="00213B1D" w:rsidRPr="00644990" w:rsidRDefault="00213B1D" w:rsidP="00213B1D">
      <w:pPr>
        <w:pStyle w:val="Bodytext20"/>
        <w:ind w:firstLine="720"/>
        <w:rPr>
          <w:i/>
          <w:iCs/>
          <w:color w:val="auto"/>
        </w:rPr>
      </w:pPr>
      <w:r w:rsidRPr="00644990">
        <w:rPr>
          <w:i/>
          <w:iCs/>
          <w:color w:val="auto"/>
        </w:rPr>
        <w:t>Căn cứ Nghị định số 54/2017/NĐ-CPngày 08 tháng 5 năm 2017 của Chính phủquy định chi tiết một số điều và biện pháp thi hành Luật dược;</w:t>
      </w:r>
    </w:p>
    <w:p w14:paraId="129884B4" w14:textId="77777777" w:rsidR="00213B1D" w:rsidRPr="00644990" w:rsidRDefault="00213B1D" w:rsidP="00213B1D">
      <w:pPr>
        <w:pStyle w:val="Bodytext20"/>
        <w:ind w:firstLine="720"/>
        <w:rPr>
          <w:i/>
          <w:iCs/>
          <w:color w:val="auto"/>
        </w:rPr>
      </w:pPr>
      <w:r w:rsidRPr="00644990">
        <w:rPr>
          <w:i/>
          <w:iCs/>
          <w:color w:val="auto"/>
        </w:rPr>
        <w:t>Căn cứ Nghị định số 75/2017/NĐ-CP ngày 20 tháng 6 năm 2017 của Chính phủ quy định chức năng, nhiệm vụ, quyền hạn và cơ cấu tổ chức của Bộ Y tế;</w:t>
      </w:r>
    </w:p>
    <w:p w14:paraId="0027B16E" w14:textId="77777777" w:rsidR="00213B1D" w:rsidRPr="00644990" w:rsidRDefault="00213B1D" w:rsidP="00213B1D">
      <w:pPr>
        <w:pStyle w:val="Bodytext20"/>
        <w:ind w:firstLine="720"/>
        <w:rPr>
          <w:i/>
          <w:iCs/>
          <w:color w:val="auto"/>
        </w:rPr>
      </w:pPr>
      <w:r w:rsidRPr="00644990">
        <w:rPr>
          <w:i/>
          <w:iCs/>
          <w:color w:val="auto"/>
        </w:rPr>
        <w:t xml:space="preserve">Căn cứ Nghị định số </w:t>
      </w:r>
      <w:bookmarkStart w:id="0" w:name="_GoBack"/>
      <w:bookmarkEnd w:id="0"/>
      <w:r w:rsidRPr="00644990">
        <w:rPr>
          <w:i/>
          <w:iCs/>
          <w:color w:val="auto"/>
        </w:rPr>
        <w:t>155/2018/NĐ-CP ngày 12 tháng 11 năm 2018 của Chính phủ sửa đổi, bổ sung một số quy định liên quan đến điều kiện đầu tư kinh doanh thuộc phạm vi quản lý nhà nước của Bộ Y tế;</w:t>
      </w:r>
    </w:p>
    <w:p w14:paraId="0DCE79BE" w14:textId="77777777" w:rsidR="00213B1D" w:rsidRPr="00644990" w:rsidRDefault="00213B1D" w:rsidP="00213B1D">
      <w:pPr>
        <w:pStyle w:val="Bodytext20"/>
        <w:shd w:val="clear" w:color="auto" w:fill="auto"/>
        <w:spacing w:after="0"/>
        <w:ind w:firstLine="720"/>
        <w:rPr>
          <w:i/>
          <w:iCs/>
          <w:color w:val="auto"/>
        </w:rPr>
      </w:pPr>
      <w:r w:rsidRPr="00644990">
        <w:rPr>
          <w:i/>
          <w:iCs/>
          <w:color w:val="auto"/>
        </w:rPr>
        <w:t>Theo đề nghị của Cục trưởng Cục Quản lý dược,</w:t>
      </w:r>
    </w:p>
    <w:p w14:paraId="45212B04" w14:textId="77777777" w:rsidR="00213B1D" w:rsidRPr="00644990" w:rsidRDefault="00D16BE9" w:rsidP="00E93CFB">
      <w:pPr>
        <w:pStyle w:val="Bodytext20"/>
        <w:shd w:val="clear" w:color="auto" w:fill="auto"/>
        <w:spacing w:after="0"/>
        <w:ind w:firstLine="720"/>
        <w:rPr>
          <w:bCs/>
          <w:i/>
          <w:color w:val="auto"/>
        </w:rPr>
      </w:pPr>
      <w:r w:rsidRPr="00644990">
        <w:rPr>
          <w:i/>
          <w:iCs/>
          <w:color w:val="auto"/>
        </w:rPr>
        <w:t xml:space="preserve">Bộ trưởng Bộ Y tế ban hành Thông tư sửa đổi, bổ sung </w:t>
      </w:r>
      <w:r w:rsidRPr="00644990">
        <w:rPr>
          <w:bCs/>
          <w:i/>
          <w:color w:val="auto"/>
        </w:rPr>
        <w:t>một số điều Thông tư số 32/2018/TT-BYT ngày 12 tháng 11 năm 2018 của Bộ trưởng Bộ Y tế quy định việc đăng ký lưu hành thuốc, nguyên liệu làm thuốc</w:t>
      </w:r>
      <w:r w:rsidRPr="00644990">
        <w:rPr>
          <w:b/>
          <w:bCs/>
          <w:color w:val="auto"/>
        </w:rPr>
        <w:t xml:space="preserve"> </w:t>
      </w:r>
      <w:r w:rsidRPr="00644990">
        <w:rPr>
          <w:bCs/>
          <w:i/>
          <w:color w:val="auto"/>
        </w:rPr>
        <w:t>và Thông tư số 01/2018/TT-BYT ngày 18/01/2018 quy định ghi nhãn thuốc, nguyên liệu làm thuốc và tờ hướng dẫn sử dụng thuốc</w:t>
      </w:r>
    </w:p>
    <w:p w14:paraId="5309C735" w14:textId="63FCCE6F" w:rsidR="00C0624D" w:rsidRPr="00644990" w:rsidRDefault="00D16BE9" w:rsidP="00E93CFB">
      <w:pPr>
        <w:spacing w:before="120" w:after="120"/>
        <w:ind w:firstLine="720"/>
        <w:jc w:val="both"/>
        <w:rPr>
          <w:rFonts w:ascii="Times New Roman" w:hAnsi="Times New Roman" w:cs="Times New Roman"/>
          <w:b/>
          <w:color w:val="auto"/>
          <w:sz w:val="28"/>
          <w:szCs w:val="28"/>
          <w:lang w:val="pt-BR"/>
        </w:rPr>
      </w:pPr>
      <w:r w:rsidRPr="00644990">
        <w:rPr>
          <w:rFonts w:ascii="Times New Roman" w:hAnsi="Times New Roman" w:cs="Times New Roman"/>
          <w:b/>
          <w:color w:val="auto"/>
          <w:sz w:val="28"/>
          <w:szCs w:val="28"/>
          <w:lang w:val="pt-BR"/>
        </w:rPr>
        <w:t xml:space="preserve">Điều 1. </w:t>
      </w:r>
      <w:r w:rsidR="00C0624D" w:rsidRPr="00644990">
        <w:rPr>
          <w:rFonts w:ascii="Times New Roman" w:hAnsi="Times New Roman" w:cs="Times New Roman"/>
          <w:b/>
          <w:color w:val="auto"/>
          <w:sz w:val="28"/>
          <w:szCs w:val="28"/>
          <w:lang w:val="pt-BR"/>
        </w:rPr>
        <w:t xml:space="preserve">Sửa đổi, bổ sung </w:t>
      </w:r>
      <w:r w:rsidR="00105F6C" w:rsidRPr="00644990">
        <w:rPr>
          <w:rFonts w:ascii="Times New Roman" w:hAnsi="Times New Roman" w:cs="Times New Roman"/>
          <w:b/>
          <w:color w:val="auto"/>
          <w:sz w:val="28"/>
          <w:szCs w:val="28"/>
          <w:lang w:val="pt-BR"/>
        </w:rPr>
        <w:t xml:space="preserve">một số điều tại </w:t>
      </w:r>
      <w:r w:rsidR="000500D9" w:rsidRPr="00644990">
        <w:rPr>
          <w:rFonts w:ascii="Times New Roman" w:hAnsi="Times New Roman" w:cs="Times New Roman"/>
          <w:b/>
          <w:color w:val="auto"/>
          <w:sz w:val="28"/>
          <w:szCs w:val="28"/>
          <w:lang w:val="pt-BR"/>
        </w:rPr>
        <w:t>Thông tư số 32/2018/TT-BYT ngày 12 tháng 11 năm 2018 của Bộ trưởng Bộ Y tế quy định về đăng ký lưu hành thuốc, nguyên liệu làm thuốc.</w:t>
      </w:r>
    </w:p>
    <w:p w14:paraId="247C1B1E" w14:textId="4D9DDB78" w:rsidR="00D16BE9" w:rsidRPr="00644990" w:rsidRDefault="00827B73" w:rsidP="000500D9">
      <w:pPr>
        <w:pStyle w:val="ListParagraph"/>
        <w:numPr>
          <w:ilvl w:val="0"/>
          <w:numId w:val="1"/>
        </w:numPr>
        <w:tabs>
          <w:tab w:val="left" w:pos="990"/>
        </w:tabs>
        <w:spacing w:before="120" w:after="120"/>
        <w:ind w:left="0" w:firstLine="720"/>
        <w:rPr>
          <w:rFonts w:ascii="Times New Roman" w:hAnsi="Times New Roman" w:cs="Times New Roman"/>
          <w:bCs/>
          <w:sz w:val="28"/>
          <w:szCs w:val="28"/>
          <w:lang w:val="pt-BR"/>
        </w:rPr>
      </w:pPr>
      <w:r w:rsidRPr="00644990">
        <w:rPr>
          <w:rFonts w:ascii="Times New Roman" w:hAnsi="Times New Roman" w:cs="Times New Roman"/>
          <w:bCs/>
          <w:sz w:val="28"/>
          <w:szCs w:val="28"/>
          <w:lang w:val="pt-BR"/>
        </w:rPr>
        <w:t xml:space="preserve">Bổ sung </w:t>
      </w:r>
      <w:r w:rsidR="00D16BE9" w:rsidRPr="00644990">
        <w:rPr>
          <w:rFonts w:ascii="Times New Roman" w:hAnsi="Times New Roman" w:cs="Times New Roman"/>
          <w:bCs/>
          <w:sz w:val="28"/>
          <w:szCs w:val="28"/>
          <w:lang w:val="pt-BR"/>
        </w:rPr>
        <w:t xml:space="preserve">Điều </w:t>
      </w:r>
      <w:r w:rsidRPr="00644990">
        <w:rPr>
          <w:rFonts w:ascii="Times New Roman" w:hAnsi="Times New Roman" w:cs="Times New Roman"/>
          <w:bCs/>
          <w:sz w:val="28"/>
          <w:szCs w:val="28"/>
          <w:lang w:val="pt-BR"/>
        </w:rPr>
        <w:t>4a</w:t>
      </w:r>
      <w:r w:rsidR="00D16BE9" w:rsidRPr="00644990">
        <w:rPr>
          <w:rFonts w:ascii="Times New Roman" w:hAnsi="Times New Roman" w:cs="Times New Roman"/>
          <w:bCs/>
          <w:sz w:val="28"/>
          <w:szCs w:val="28"/>
          <w:lang w:val="pt-BR"/>
        </w:rPr>
        <w:t xml:space="preserve"> Thông tư </w:t>
      </w:r>
      <w:r w:rsidRPr="00644990">
        <w:rPr>
          <w:rFonts w:ascii="Times New Roman" w:hAnsi="Times New Roman" w:cs="Times New Roman"/>
          <w:bCs/>
          <w:sz w:val="28"/>
          <w:szCs w:val="28"/>
          <w:lang w:val="pt-BR"/>
        </w:rPr>
        <w:t xml:space="preserve">số </w:t>
      </w:r>
      <w:r w:rsidR="00D16BE9" w:rsidRPr="00644990">
        <w:rPr>
          <w:rFonts w:ascii="Times New Roman" w:hAnsi="Times New Roman" w:cs="Times New Roman"/>
          <w:bCs/>
          <w:sz w:val="28"/>
          <w:szCs w:val="28"/>
          <w:lang w:val="pt-BR"/>
        </w:rPr>
        <w:t>32/2018/TT-BYT</w:t>
      </w:r>
      <w:r w:rsidR="00D16BE9" w:rsidRPr="00644990">
        <w:rPr>
          <w:rFonts w:ascii="Times New Roman" w:hAnsi="Times New Roman" w:cs="Times New Roman"/>
          <w:bCs/>
          <w:sz w:val="28"/>
          <w:szCs w:val="28"/>
        </w:rPr>
        <w:t xml:space="preserve"> ngày 12 tháng 11 năm 2018 của Bộ trưởng Bộ Y tế quy định việc đăng ký lưu hành thuốc, nguyên liệu làm thuốc (sau đây gọi tắt là Thông tư số 32/2018/TT-BYT)</w:t>
      </w:r>
      <w:r w:rsidR="00D16BE9" w:rsidRPr="00644990">
        <w:rPr>
          <w:rFonts w:ascii="Times New Roman" w:hAnsi="Times New Roman" w:cs="Times New Roman"/>
          <w:bCs/>
          <w:sz w:val="28"/>
          <w:szCs w:val="28"/>
          <w:lang w:val="pt-BR"/>
        </w:rPr>
        <w:t>.</w:t>
      </w:r>
    </w:p>
    <w:p w14:paraId="482911B5" w14:textId="77777777" w:rsidR="00827B73" w:rsidRPr="00644990" w:rsidRDefault="00827B73" w:rsidP="00E93CFB">
      <w:pPr>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nl-NL"/>
        </w:rPr>
        <w:t xml:space="preserve">“Điều 4a: </w:t>
      </w:r>
      <w:r w:rsidRPr="00644990">
        <w:rPr>
          <w:rFonts w:ascii="Times New Roman" w:hAnsi="Times New Roman" w:cs="Times New Roman"/>
          <w:bCs/>
          <w:color w:val="auto"/>
          <w:sz w:val="28"/>
          <w:szCs w:val="28"/>
          <w:lang w:val="pt-BR"/>
        </w:rPr>
        <w:t>Trách nhiệm đối với chủ sở hữu sản phẩm hoặc chủ sỡ hữu giấy phép lưu hành thể hiện trên CPP đối với thuốc nước ngoài.</w:t>
      </w:r>
    </w:p>
    <w:p w14:paraId="6A99355A" w14:textId="77777777" w:rsidR="00827B73" w:rsidRPr="00644990" w:rsidRDefault="00827B73" w:rsidP="00E93CFB">
      <w:pPr>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1. Đề nghị thu hồi giấy đăng ký lưu hành do cơ sở sở hữu trong trường hợp thuốc, nguyên liệu làm thuốc có vấn đề về chất lượng, an toàn và hiệu quả ảnh hưởng đến sức khoẻ của người sử dụng theo Mẫu1/TT ban hành kèm theoThông tư này.</w:t>
      </w:r>
    </w:p>
    <w:p w14:paraId="12A0AD6B" w14:textId="77777777" w:rsidR="00827B73" w:rsidRPr="00644990" w:rsidRDefault="00827B73" w:rsidP="00E93CFB">
      <w:pPr>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 xml:space="preserve">2. Thực hiện việc thay đổi cơ sở đăng ký của thuốc, nguyên liệu làm thuốc do cơ sở sản xuất đã được cấp giấy đăng ký lưu hành trong thời hạn 30 ngày kể từ ngày Cục Quản lý Dược ký công văn thông báo về việc cơ sở đăng ký không </w:t>
      </w:r>
      <w:r w:rsidRPr="00644990">
        <w:rPr>
          <w:rFonts w:ascii="Times New Roman" w:hAnsi="Times New Roman" w:cs="Times New Roman"/>
          <w:bCs/>
          <w:color w:val="auto"/>
          <w:sz w:val="28"/>
          <w:szCs w:val="28"/>
          <w:lang w:val="pt-BR"/>
        </w:rPr>
        <w:lastRenderedPageBreak/>
        <w:t xml:space="preserve">còn đủ điều kiện hoạt động. </w:t>
      </w:r>
    </w:p>
    <w:p w14:paraId="39298EAE" w14:textId="77777777" w:rsidR="00827B73" w:rsidRPr="00644990" w:rsidRDefault="00827B73" w:rsidP="00E93CFB">
      <w:pPr>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3. Thay mặt nhà sản xuất ký ủy quyền cho cơ sở đăng ký thuốc được đứng tên đăng ký thuốc tại Việt Nam.</w:t>
      </w:r>
    </w:p>
    <w:p w14:paraId="0A537484" w14:textId="77777777" w:rsidR="00827B73" w:rsidRPr="00644990" w:rsidRDefault="00827B73" w:rsidP="00E93CFB">
      <w:pPr>
        <w:spacing w:before="120" w:after="120"/>
        <w:ind w:firstLine="720"/>
        <w:jc w:val="both"/>
        <w:rPr>
          <w:rFonts w:ascii="Times New Roman" w:hAnsi="Times New Roman" w:cs="Times New Roman"/>
          <w:bCs/>
          <w:color w:val="auto"/>
          <w:sz w:val="28"/>
          <w:szCs w:val="28"/>
          <w:lang w:val="nl-NL"/>
        </w:rPr>
      </w:pPr>
      <w:r w:rsidRPr="00644990">
        <w:rPr>
          <w:rFonts w:ascii="Times New Roman" w:hAnsi="Times New Roman" w:cs="Times New Roman"/>
          <w:bCs/>
          <w:color w:val="auto"/>
          <w:sz w:val="28"/>
          <w:szCs w:val="28"/>
          <w:lang w:val="nl-NL"/>
        </w:rPr>
        <w:t>4. Được cung cấp thuốc vào Việt Nam (ký hợp đồng mua bán với cơ sở nhập khẩu) theo quy định tại điểm b khoản 15 Điều 91 Nghị định 54/2017/NĐ-CP ngày 08/05/2017 của Chính phủ.”</w:t>
      </w:r>
    </w:p>
    <w:p w14:paraId="3EA9B47C" w14:textId="24214A17" w:rsidR="00827B73" w:rsidRPr="00644990" w:rsidRDefault="00827B73" w:rsidP="00BF1668">
      <w:pPr>
        <w:pStyle w:val="ListParagraph"/>
        <w:numPr>
          <w:ilvl w:val="0"/>
          <w:numId w:val="1"/>
        </w:numPr>
        <w:tabs>
          <w:tab w:val="left" w:pos="990"/>
        </w:tabs>
        <w:spacing w:before="120" w:after="120"/>
        <w:ind w:left="0" w:firstLine="720"/>
        <w:rPr>
          <w:rFonts w:ascii="Times New Roman" w:hAnsi="Times New Roman" w:cs="Times New Roman"/>
          <w:bCs/>
          <w:sz w:val="28"/>
          <w:szCs w:val="28"/>
        </w:rPr>
      </w:pPr>
      <w:r w:rsidRPr="00644990">
        <w:rPr>
          <w:rFonts w:ascii="Times New Roman" w:hAnsi="Times New Roman" w:cs="Times New Roman"/>
          <w:bCs/>
          <w:sz w:val="28"/>
          <w:szCs w:val="28"/>
          <w:lang w:val="nl-NL"/>
        </w:rPr>
        <w:t xml:space="preserve">Sửa đổi, bổ sung </w:t>
      </w:r>
      <w:r w:rsidR="00214DB8" w:rsidRPr="00644990">
        <w:rPr>
          <w:rFonts w:ascii="Times New Roman" w:hAnsi="Times New Roman" w:cs="Times New Roman"/>
          <w:bCs/>
          <w:sz w:val="28"/>
          <w:szCs w:val="28"/>
          <w:lang w:val="nl-NL"/>
        </w:rPr>
        <w:t xml:space="preserve">về số lượng hồ sơ tài liệu tại </w:t>
      </w:r>
      <w:r w:rsidRPr="00644990">
        <w:rPr>
          <w:rFonts w:ascii="Times New Roman" w:hAnsi="Times New Roman" w:cs="Times New Roman"/>
          <w:bCs/>
          <w:sz w:val="28"/>
          <w:szCs w:val="28"/>
          <w:lang w:val="nl-NL"/>
        </w:rPr>
        <w:t>khoản 2</w:t>
      </w:r>
      <w:r w:rsidR="00214DB8" w:rsidRPr="00644990">
        <w:rPr>
          <w:rFonts w:ascii="Times New Roman" w:hAnsi="Times New Roman" w:cs="Times New Roman"/>
          <w:bCs/>
          <w:sz w:val="28"/>
          <w:szCs w:val="28"/>
          <w:lang w:val="nl-NL"/>
        </w:rPr>
        <w:t>, khoản 4</w:t>
      </w:r>
      <w:r w:rsidR="00B8614C">
        <w:rPr>
          <w:rFonts w:ascii="Times New Roman" w:hAnsi="Times New Roman" w:cs="Times New Roman"/>
          <w:bCs/>
          <w:sz w:val="28"/>
          <w:szCs w:val="28"/>
          <w:lang w:val="nl-NL"/>
        </w:rPr>
        <w:t xml:space="preserve">, khoản 5, khoản 6 </w:t>
      </w:r>
      <w:r w:rsidRPr="00644990">
        <w:rPr>
          <w:rFonts w:ascii="Times New Roman" w:hAnsi="Times New Roman" w:cs="Times New Roman"/>
          <w:bCs/>
          <w:sz w:val="28"/>
          <w:szCs w:val="28"/>
          <w:lang w:val="nl-NL"/>
        </w:rPr>
        <w:t xml:space="preserve">Điều 6 </w:t>
      </w:r>
      <w:r w:rsidRPr="00644990">
        <w:rPr>
          <w:rFonts w:ascii="Times New Roman" w:hAnsi="Times New Roman" w:cs="Times New Roman"/>
          <w:bCs/>
          <w:sz w:val="28"/>
          <w:szCs w:val="28"/>
        </w:rPr>
        <w:t>Thông tư số 32/2018/TT-BYT.</w:t>
      </w:r>
    </w:p>
    <w:p w14:paraId="0F7DCC4C" w14:textId="1083162D" w:rsidR="00214DB8" w:rsidRPr="00644990" w:rsidRDefault="00C0624D" w:rsidP="00E93CFB">
      <w:pPr>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a)</w:t>
      </w:r>
      <w:r w:rsidR="00214DB8" w:rsidRPr="00644990">
        <w:rPr>
          <w:rFonts w:ascii="Times New Roman" w:hAnsi="Times New Roman" w:cs="Times New Roman"/>
          <w:bCs/>
          <w:color w:val="auto"/>
          <w:sz w:val="28"/>
          <w:szCs w:val="28"/>
          <w:lang w:val="pt-BR"/>
        </w:rPr>
        <w:t xml:space="preserve"> Sửa đổi, bổ sung khoản 2 Điều 6 như sau:</w:t>
      </w:r>
    </w:p>
    <w:p w14:paraId="31D9E564" w14:textId="3346BA53" w:rsidR="00827B73" w:rsidRPr="00644990" w:rsidRDefault="00827B73" w:rsidP="006629CA">
      <w:pPr>
        <w:spacing w:before="120" w:after="120"/>
        <w:ind w:firstLine="720"/>
        <w:jc w:val="both"/>
        <w:rPr>
          <w:rFonts w:ascii="Times New Roman" w:hAnsi="Times New Roman" w:cs="Times New Roman"/>
          <w:bCs/>
          <w:strike/>
          <w:color w:val="auto"/>
          <w:sz w:val="28"/>
          <w:szCs w:val="28"/>
          <w:lang w:val="pt-BR"/>
        </w:rPr>
      </w:pPr>
      <w:r w:rsidRPr="00644990">
        <w:rPr>
          <w:rFonts w:ascii="Times New Roman" w:hAnsi="Times New Roman" w:cs="Times New Roman"/>
          <w:bCs/>
          <w:color w:val="auto"/>
          <w:sz w:val="28"/>
          <w:szCs w:val="28"/>
          <w:lang w:val="pt-BR"/>
        </w:rPr>
        <w:t>“2. Hồ sơ đăng ký thuốc, nguyên liệu làm thuốc</w:t>
      </w:r>
      <w:r w:rsidR="004C5489" w:rsidRPr="00644990">
        <w:rPr>
          <w:rFonts w:ascii="Times New Roman" w:hAnsi="Times New Roman" w:cs="Times New Roman"/>
          <w:bCs/>
          <w:color w:val="auto"/>
          <w:sz w:val="28"/>
          <w:szCs w:val="28"/>
          <w:lang w:val="pt-BR"/>
        </w:rPr>
        <w:t xml:space="preserve"> nộp theo hình thức trực tuyến, theo các</w:t>
      </w:r>
      <w:r w:rsidR="00CB3FAA" w:rsidRPr="00644990">
        <w:rPr>
          <w:rFonts w:ascii="Times New Roman" w:hAnsi="Times New Roman" w:cs="Times New Roman"/>
          <w:bCs/>
          <w:color w:val="auto"/>
          <w:sz w:val="28"/>
          <w:szCs w:val="28"/>
          <w:lang w:val="pt-BR"/>
        </w:rPr>
        <w:t xml:space="preserve"> hướng dẫn của Cục Quản lý Dược</w:t>
      </w:r>
      <w:r w:rsidR="0031242C" w:rsidRPr="00644990">
        <w:rPr>
          <w:rFonts w:ascii="Times New Roman" w:hAnsi="Times New Roman" w:cs="Times New Roman"/>
          <w:bCs/>
          <w:color w:val="auto"/>
          <w:sz w:val="28"/>
          <w:szCs w:val="28"/>
          <w:lang w:val="pt-BR"/>
        </w:rPr>
        <w:t>.</w:t>
      </w:r>
      <w:r w:rsidRPr="00644990">
        <w:rPr>
          <w:rFonts w:ascii="Times New Roman" w:hAnsi="Times New Roman" w:cs="Times New Roman"/>
          <w:bCs/>
          <w:color w:val="auto"/>
          <w:sz w:val="28"/>
          <w:szCs w:val="28"/>
          <w:lang w:val="pt-BR"/>
        </w:rPr>
        <w:t>”</w:t>
      </w:r>
    </w:p>
    <w:p w14:paraId="0F4202D3" w14:textId="7B7831DE" w:rsidR="00214DB8" w:rsidRPr="00644990" w:rsidRDefault="00C0624D" w:rsidP="00E93CFB">
      <w:pPr>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b)</w:t>
      </w:r>
      <w:r w:rsidR="00214DB8" w:rsidRPr="00644990">
        <w:rPr>
          <w:rFonts w:ascii="Times New Roman" w:hAnsi="Times New Roman" w:cs="Times New Roman"/>
          <w:bCs/>
          <w:color w:val="auto"/>
          <w:sz w:val="28"/>
          <w:szCs w:val="28"/>
          <w:lang w:val="pt-BR"/>
        </w:rPr>
        <w:t xml:space="preserve"> Sửa đổi, bổ sung khoả</w:t>
      </w:r>
      <w:r w:rsidR="00E66CAA" w:rsidRPr="00644990">
        <w:rPr>
          <w:rFonts w:ascii="Times New Roman" w:hAnsi="Times New Roman" w:cs="Times New Roman"/>
          <w:bCs/>
          <w:color w:val="auto"/>
          <w:sz w:val="28"/>
          <w:szCs w:val="28"/>
          <w:lang w:val="pt-BR"/>
        </w:rPr>
        <w:t>n 4, khoản 5</w:t>
      </w:r>
      <w:r w:rsidR="00021B64" w:rsidRPr="00644990">
        <w:rPr>
          <w:rFonts w:ascii="Times New Roman" w:hAnsi="Times New Roman" w:cs="Times New Roman"/>
          <w:bCs/>
          <w:color w:val="auto"/>
          <w:sz w:val="28"/>
          <w:szCs w:val="28"/>
          <w:lang w:val="pt-BR"/>
        </w:rPr>
        <w:t xml:space="preserve"> </w:t>
      </w:r>
      <w:r w:rsidR="00214DB8" w:rsidRPr="00644990">
        <w:rPr>
          <w:rFonts w:ascii="Times New Roman" w:hAnsi="Times New Roman" w:cs="Times New Roman"/>
          <w:bCs/>
          <w:color w:val="auto"/>
          <w:sz w:val="28"/>
          <w:szCs w:val="28"/>
          <w:lang w:val="pt-BR"/>
        </w:rPr>
        <w:t>như sau:</w:t>
      </w:r>
    </w:p>
    <w:p w14:paraId="727315CB" w14:textId="77777777" w:rsidR="00E66CAA" w:rsidRPr="00644990" w:rsidRDefault="00E66CAA" w:rsidP="00E93CFB">
      <w:pPr>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“4. Số lượng các tài liệu phải nộp trong hồ sơ đề nghị cấp, gia hạn giấy đăng ký lưu hành, cụ thể như sau:</w:t>
      </w:r>
    </w:p>
    <w:p w14:paraId="4C156D21" w14:textId="29FDC190" w:rsidR="00E66CAA" w:rsidRPr="00644990" w:rsidRDefault="00E66CAA" w:rsidP="00C71AA4">
      <w:pPr>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 xml:space="preserve">01 (một) </w:t>
      </w:r>
      <w:r w:rsidRPr="00644990">
        <w:rPr>
          <w:rFonts w:ascii="Times New Roman" w:hAnsi="Times New Roman" w:cs="Times New Roman"/>
          <w:bCs/>
          <w:color w:val="auto"/>
          <w:sz w:val="28"/>
          <w:szCs w:val="28"/>
        </w:rPr>
        <w:t xml:space="preserve">bộ </w:t>
      </w:r>
      <w:r w:rsidRPr="00644990">
        <w:rPr>
          <w:rFonts w:ascii="Times New Roman" w:hAnsi="Times New Roman" w:cs="Times New Roman"/>
          <w:bCs/>
          <w:color w:val="auto"/>
          <w:sz w:val="28"/>
          <w:szCs w:val="28"/>
          <w:lang w:val="pt-BR"/>
        </w:rPr>
        <w:t xml:space="preserve">có đầy đủ hồ sơ </w:t>
      </w:r>
      <w:r w:rsidRPr="00644990">
        <w:rPr>
          <w:rFonts w:ascii="Times New Roman" w:hAnsi="Times New Roman" w:cs="Times New Roman"/>
          <w:bCs/>
          <w:color w:val="auto"/>
          <w:sz w:val="28"/>
          <w:szCs w:val="28"/>
        </w:rPr>
        <w:t xml:space="preserve">theo </w:t>
      </w:r>
      <w:r w:rsidRPr="00644990">
        <w:rPr>
          <w:rFonts w:ascii="Times New Roman" w:hAnsi="Times New Roman" w:cs="Times New Roman"/>
          <w:bCs/>
          <w:color w:val="auto"/>
          <w:sz w:val="28"/>
          <w:szCs w:val="28"/>
          <w:lang w:val="pt-BR"/>
        </w:rPr>
        <w:t>quy định tại khoản 1, 2, 3, 5, 6, 7 Điều 28 Thông tư này đối với thuốc hóa dược, vắc xin, sinh phẩm và hồ sơ quy định tại khoản 1, 2 Điều 31, khoản 1, 2 Điều 33 Thông tư này đối với thuốc dược liệu, nguyên liệu làm thuốc;</w:t>
      </w:r>
    </w:p>
    <w:p w14:paraId="7301A932" w14:textId="77777777" w:rsidR="00E66CAA" w:rsidRPr="00644990" w:rsidRDefault="00E66CAA" w:rsidP="00E93CFB">
      <w:pPr>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 xml:space="preserve">5. Số lượng các tài liệu phải nộp trong hồ sơ đăng ký thay đổi, bổ sung giấy đăng ký lưu hành: </w:t>
      </w:r>
    </w:p>
    <w:p w14:paraId="17BE1135" w14:textId="099E4198" w:rsidR="00E66CAA" w:rsidRPr="00644990" w:rsidRDefault="00E66CAA" w:rsidP="00E93CFB">
      <w:pPr>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 xml:space="preserve">01 (một) </w:t>
      </w:r>
      <w:r w:rsidRPr="00644990">
        <w:rPr>
          <w:rFonts w:ascii="Times New Roman" w:hAnsi="Times New Roman" w:cs="Times New Roman"/>
          <w:bCs/>
          <w:color w:val="auto"/>
          <w:sz w:val="28"/>
          <w:szCs w:val="28"/>
        </w:rPr>
        <w:t>bộ</w:t>
      </w:r>
      <w:r w:rsidRPr="00644990">
        <w:rPr>
          <w:rFonts w:ascii="Times New Roman" w:hAnsi="Times New Roman" w:cs="Times New Roman"/>
          <w:bCs/>
          <w:color w:val="auto"/>
          <w:sz w:val="28"/>
          <w:szCs w:val="28"/>
          <w:lang w:val="pt-BR"/>
        </w:rPr>
        <w:t xml:space="preserve"> có đầy đủ các tài liệu theo quy định tại khoản 4 Điều 28Thông tư này đối với thuốc hóa dược, vắc xin, sinh phẩm và khoản 3 Điều 31, khoản 3 Điều 33 Thông tư này đối với thuốc dược liệu, nguyên liệu làm thuố</w:t>
      </w:r>
      <w:r w:rsidR="00932B80" w:rsidRPr="00644990">
        <w:rPr>
          <w:rFonts w:ascii="Times New Roman" w:hAnsi="Times New Roman" w:cs="Times New Roman"/>
          <w:bCs/>
          <w:color w:val="auto"/>
          <w:sz w:val="28"/>
          <w:szCs w:val="28"/>
          <w:lang w:val="pt-BR"/>
        </w:rPr>
        <w:t>c.”</w:t>
      </w:r>
    </w:p>
    <w:p w14:paraId="174713CD" w14:textId="627B85D4" w:rsidR="00932B80" w:rsidRPr="00644990" w:rsidRDefault="00932B80" w:rsidP="00E93CFB">
      <w:pPr>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c) Bãi bỏ khoản 6 Điều 6</w:t>
      </w:r>
    </w:p>
    <w:p w14:paraId="69F8B243" w14:textId="6011A2AB" w:rsidR="00214DB8" w:rsidRPr="00644990" w:rsidRDefault="00C71AA4" w:rsidP="00BF1668">
      <w:pPr>
        <w:pStyle w:val="ListParagraph"/>
        <w:numPr>
          <w:ilvl w:val="0"/>
          <w:numId w:val="1"/>
        </w:numPr>
        <w:tabs>
          <w:tab w:val="left" w:pos="990"/>
        </w:tabs>
        <w:spacing w:before="120" w:after="120"/>
        <w:ind w:left="0" w:firstLine="720"/>
        <w:rPr>
          <w:rFonts w:ascii="Times New Roman" w:hAnsi="Times New Roman" w:cs="Times New Roman"/>
          <w:bCs/>
          <w:sz w:val="28"/>
          <w:szCs w:val="28"/>
          <w:lang w:val="pt-BR"/>
        </w:rPr>
      </w:pPr>
      <w:r w:rsidRPr="00644990">
        <w:rPr>
          <w:rFonts w:ascii="Times New Roman" w:hAnsi="Times New Roman" w:cs="Times New Roman"/>
          <w:bCs/>
          <w:sz w:val="28"/>
          <w:szCs w:val="28"/>
          <w:lang w:val="pt-BR"/>
        </w:rPr>
        <w:t xml:space="preserve">Bỏ “trừ vắc xin” tại </w:t>
      </w:r>
      <w:r w:rsidR="00BC4FDA" w:rsidRPr="00644990">
        <w:rPr>
          <w:rFonts w:ascii="Times New Roman" w:hAnsi="Times New Roman" w:cs="Times New Roman"/>
          <w:bCs/>
          <w:sz w:val="28"/>
          <w:szCs w:val="28"/>
          <w:lang w:val="pt-BR"/>
        </w:rPr>
        <w:t>khoản 3 Điều 6 Thông tư số</w:t>
      </w:r>
      <w:r w:rsidR="0011104F" w:rsidRPr="00644990">
        <w:rPr>
          <w:rFonts w:ascii="Times New Roman" w:hAnsi="Times New Roman" w:cs="Times New Roman"/>
          <w:bCs/>
          <w:sz w:val="28"/>
          <w:szCs w:val="28"/>
          <w:lang w:val="pt-BR"/>
        </w:rPr>
        <w:t xml:space="preserve"> 32/2018/TT-BYT.</w:t>
      </w:r>
    </w:p>
    <w:p w14:paraId="2E631F23" w14:textId="168137BB" w:rsidR="00827B73" w:rsidRPr="00644990" w:rsidRDefault="003411DE" w:rsidP="00BF1668">
      <w:pPr>
        <w:pStyle w:val="ListParagraph"/>
        <w:numPr>
          <w:ilvl w:val="0"/>
          <w:numId w:val="1"/>
        </w:numPr>
        <w:tabs>
          <w:tab w:val="left" w:pos="990"/>
        </w:tabs>
        <w:spacing w:before="120" w:after="120"/>
        <w:ind w:left="0" w:firstLine="720"/>
        <w:rPr>
          <w:rFonts w:ascii="Times New Roman" w:hAnsi="Times New Roman" w:cs="Times New Roman"/>
          <w:bCs/>
          <w:sz w:val="28"/>
          <w:szCs w:val="28"/>
          <w:lang w:val="pt-BR"/>
        </w:rPr>
      </w:pPr>
      <w:r w:rsidRPr="00644990">
        <w:rPr>
          <w:rFonts w:ascii="Times New Roman" w:hAnsi="Times New Roman" w:cs="Times New Roman"/>
          <w:bCs/>
          <w:sz w:val="28"/>
          <w:szCs w:val="28"/>
          <w:lang w:val="pt-BR"/>
        </w:rPr>
        <w:t>Bổ sung Điều 9a Thông tư số 32/2018/TT-BYT</w:t>
      </w:r>
      <w:r w:rsidR="00FA7FD3" w:rsidRPr="00644990">
        <w:rPr>
          <w:rFonts w:ascii="Times New Roman" w:hAnsi="Times New Roman" w:cs="Times New Roman"/>
          <w:bCs/>
          <w:sz w:val="28"/>
          <w:szCs w:val="28"/>
          <w:lang w:val="pt-BR"/>
        </w:rPr>
        <w:t xml:space="preserve"> về tiêu chí công bố thuốc có chứng minh tương đương sinh học như sau:</w:t>
      </w:r>
    </w:p>
    <w:p w14:paraId="2BAE600D" w14:textId="77777777" w:rsidR="003411DE" w:rsidRPr="00644990" w:rsidRDefault="003411DE" w:rsidP="00E93CFB">
      <w:pPr>
        <w:spacing w:before="120" w:after="120"/>
        <w:ind w:firstLine="720"/>
        <w:jc w:val="both"/>
        <w:rPr>
          <w:rFonts w:ascii="Times New Roman" w:hAnsi="Times New Roman" w:cs="Times New Roman"/>
          <w:bCs/>
          <w:color w:val="auto"/>
          <w:sz w:val="28"/>
          <w:szCs w:val="28"/>
        </w:rPr>
      </w:pPr>
      <w:r w:rsidRPr="00644990">
        <w:rPr>
          <w:rFonts w:ascii="Times New Roman" w:hAnsi="Times New Roman" w:cs="Times New Roman"/>
          <w:bCs/>
          <w:color w:val="auto"/>
          <w:sz w:val="28"/>
          <w:szCs w:val="28"/>
          <w:lang w:val="en-US"/>
        </w:rPr>
        <w:t>“</w:t>
      </w:r>
      <w:r w:rsidRPr="00644990">
        <w:rPr>
          <w:rFonts w:ascii="Times New Roman" w:hAnsi="Times New Roman" w:cs="Times New Roman"/>
          <w:bCs/>
          <w:color w:val="auto"/>
          <w:sz w:val="28"/>
          <w:szCs w:val="28"/>
        </w:rPr>
        <w:t>Điều 9a. Tiêu chí công bố thuốc có chứng minh tương đương sinh học</w:t>
      </w:r>
    </w:p>
    <w:p w14:paraId="5BA7A07F" w14:textId="77777777" w:rsidR="00ED3539" w:rsidRPr="00644990" w:rsidRDefault="00ED3539" w:rsidP="00ED3539">
      <w:pPr>
        <w:spacing w:before="120" w:after="120"/>
        <w:ind w:firstLine="720"/>
        <w:jc w:val="both"/>
        <w:rPr>
          <w:rFonts w:ascii="Times New Roman" w:hAnsi="Times New Roman" w:cs="Times New Roman"/>
          <w:bCs/>
          <w:color w:val="auto"/>
          <w:sz w:val="28"/>
          <w:szCs w:val="28"/>
        </w:rPr>
      </w:pPr>
      <w:r w:rsidRPr="00644990">
        <w:rPr>
          <w:rFonts w:ascii="Times New Roman" w:hAnsi="Times New Roman" w:cs="Times New Roman"/>
          <w:bCs/>
          <w:color w:val="auto"/>
          <w:sz w:val="28"/>
          <w:szCs w:val="28"/>
        </w:rPr>
        <w:t>1. Các thuốc thuộc trường hợp hồ sơ đề nghị cấp giấy đăng ký lưu hành có phần báo cáo tương đương sinh học: Thực hiện công bố tương đương sinh học cùng hồ sơ đăng ký thuốc.</w:t>
      </w:r>
    </w:p>
    <w:p w14:paraId="48C516CE" w14:textId="77777777" w:rsidR="00ED3539" w:rsidRPr="00644990" w:rsidRDefault="00ED3539" w:rsidP="00ED3539">
      <w:pPr>
        <w:spacing w:before="120" w:after="120"/>
        <w:ind w:firstLine="720"/>
        <w:jc w:val="both"/>
        <w:rPr>
          <w:rFonts w:ascii="Times New Roman" w:hAnsi="Times New Roman" w:cs="Times New Roman"/>
          <w:bCs/>
          <w:color w:val="auto"/>
          <w:sz w:val="28"/>
          <w:szCs w:val="28"/>
        </w:rPr>
      </w:pPr>
      <w:r w:rsidRPr="00644990">
        <w:rPr>
          <w:rFonts w:ascii="Times New Roman" w:hAnsi="Times New Roman" w:cs="Times New Roman"/>
          <w:bCs/>
          <w:color w:val="auto"/>
          <w:sz w:val="28"/>
          <w:szCs w:val="28"/>
        </w:rPr>
        <w:t>2. Các thuốc thuộc trường hợp không bắt buộc phải nộp báo cáo tương đương sinh học theo quy định tại Thông tư 08/2010/TT-BYT sau khi được cấp giấy đăng ký lưu hành có đề nghị công bố thuốc có chứng minh tương đương sinh học: Thực hiện công bố tương đương sinh học theo MiV-PA37 Phụ lục II Thông tư này.</w:t>
      </w:r>
    </w:p>
    <w:p w14:paraId="4C08C18A" w14:textId="77777777" w:rsidR="00ED3539" w:rsidRPr="00644990" w:rsidRDefault="00ED3539" w:rsidP="00ED3539">
      <w:pPr>
        <w:spacing w:before="120" w:after="120"/>
        <w:ind w:firstLine="720"/>
        <w:jc w:val="both"/>
        <w:rPr>
          <w:rFonts w:ascii="Times New Roman" w:hAnsi="Times New Roman" w:cs="Times New Roman"/>
          <w:bCs/>
          <w:color w:val="auto"/>
          <w:sz w:val="28"/>
          <w:szCs w:val="28"/>
        </w:rPr>
      </w:pPr>
      <w:r w:rsidRPr="00644990">
        <w:rPr>
          <w:rFonts w:ascii="Times New Roman" w:hAnsi="Times New Roman" w:cs="Times New Roman"/>
          <w:bCs/>
          <w:color w:val="auto"/>
          <w:sz w:val="28"/>
          <w:szCs w:val="28"/>
        </w:rPr>
        <w:t xml:space="preserve">3. Các thuốc đã được Cục Quản lý Dược công bố tương đương sinh học, khi cấp lại giấy đăng ký lưu hành dẫn đến thay đổi số giấy đăng ký lưu hành: Thực </w:t>
      </w:r>
      <w:r w:rsidRPr="00644990">
        <w:rPr>
          <w:rFonts w:ascii="Times New Roman" w:hAnsi="Times New Roman" w:cs="Times New Roman"/>
          <w:bCs/>
          <w:color w:val="auto"/>
          <w:sz w:val="28"/>
          <w:szCs w:val="28"/>
        </w:rPr>
        <w:lastRenderedPageBreak/>
        <w:t>hiện công bố tương đương sinh học theo MiV-PA37 Phụ lục II Thông tư này.</w:t>
      </w:r>
    </w:p>
    <w:p w14:paraId="06F5A9C5" w14:textId="77777777" w:rsidR="00ED3539" w:rsidRPr="00644990" w:rsidRDefault="00ED3539" w:rsidP="00ED3539">
      <w:pPr>
        <w:spacing w:before="120" w:after="120"/>
        <w:ind w:firstLine="720"/>
        <w:jc w:val="both"/>
        <w:rPr>
          <w:rFonts w:ascii="Times New Roman" w:hAnsi="Times New Roman" w:cs="Times New Roman"/>
          <w:bCs/>
          <w:color w:val="auto"/>
          <w:sz w:val="28"/>
          <w:szCs w:val="28"/>
        </w:rPr>
      </w:pPr>
      <w:r w:rsidRPr="00644990">
        <w:rPr>
          <w:rFonts w:ascii="Times New Roman" w:hAnsi="Times New Roman" w:cs="Times New Roman"/>
          <w:bCs/>
          <w:color w:val="auto"/>
          <w:sz w:val="28"/>
          <w:szCs w:val="28"/>
        </w:rPr>
        <w:t>4. Các thuốc đã được Cục Quản lý Dược công bố tương đương sinh học theo quy định tại Điều này có các thay đổi, bổ sung sau khi được công bố:</w:t>
      </w:r>
    </w:p>
    <w:p w14:paraId="197EADDB" w14:textId="77777777" w:rsidR="00ED3539" w:rsidRPr="00644990" w:rsidRDefault="00ED3539" w:rsidP="00ED3539">
      <w:pPr>
        <w:spacing w:before="120" w:after="120"/>
        <w:ind w:firstLine="720"/>
        <w:jc w:val="both"/>
        <w:rPr>
          <w:rFonts w:ascii="Times New Roman" w:hAnsi="Times New Roman" w:cs="Times New Roman"/>
          <w:bCs/>
          <w:color w:val="auto"/>
          <w:sz w:val="28"/>
          <w:szCs w:val="28"/>
        </w:rPr>
      </w:pPr>
      <w:r w:rsidRPr="00644990">
        <w:rPr>
          <w:rFonts w:ascii="Times New Roman" w:hAnsi="Times New Roman" w:cs="Times New Roman"/>
          <w:bCs/>
          <w:color w:val="auto"/>
          <w:sz w:val="28"/>
          <w:szCs w:val="28"/>
        </w:rPr>
        <w:t>- Trường hợp có thay đổi, bổ sung các thông tin trong danh mục công bố tương đương sinh học nhưng không thay đổi số giấy đăng ký lưu hành (bao gồm thay đổi tên thuốc, quy cách đóng gói, tên và cách ghi địa chỉ cơ sở sản xuất), được tiếp tục công bố tương đương sinh học theo các thông tin mới đã được Cục Quản lý Dược phê duyệt thay đổi, bổ sung.</w:t>
      </w:r>
    </w:p>
    <w:p w14:paraId="2BE06262" w14:textId="77777777" w:rsidR="003411DE" w:rsidRPr="00644990" w:rsidRDefault="00ED3539" w:rsidP="00ED3539">
      <w:pPr>
        <w:spacing w:before="120" w:after="120"/>
        <w:ind w:firstLine="720"/>
        <w:jc w:val="both"/>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rPr>
        <w:t>- Trường hợp có thay đổi, bổ sung có khả năng ảnh hưởng đến sinh khả dụng của thuốc (địa điểm sản xuất thuốc; thay đổi/bổ sung nguồn dược chất; công thức bào chế cho 01 đơn vị liều bao gồm cả các thay đổi liên quan đến màng bao, vỏ nang; quy trình sản xuất thuốc bao gồm cả trang thiết bị dùng trong sản xuất; cỡ lô sản xuất): Thực hiện theo các nội dung thay đổi, bổ sung quy định tại Phụ lục II Thông tư này và tiếp tục được công bố tương đương sinh học theo các thông tin mới đã được Cục Quản lý Dược phê duyệt nếu chứng minh được các thay đổi, bổ sung không ảnh hưởng đến sinh khả dụng của thuốc</w:t>
      </w:r>
      <w:r w:rsidR="003411DE" w:rsidRPr="00644990">
        <w:rPr>
          <w:rFonts w:ascii="Times New Roman" w:hAnsi="Times New Roman" w:cs="Times New Roman"/>
          <w:bCs/>
          <w:color w:val="auto"/>
          <w:sz w:val="28"/>
          <w:szCs w:val="28"/>
        </w:rPr>
        <w:t>.</w:t>
      </w:r>
      <w:r w:rsidR="003411DE" w:rsidRPr="00644990">
        <w:rPr>
          <w:rFonts w:ascii="Times New Roman" w:hAnsi="Times New Roman" w:cs="Times New Roman"/>
          <w:bCs/>
          <w:color w:val="auto"/>
          <w:sz w:val="28"/>
          <w:szCs w:val="28"/>
          <w:lang w:val="en-US"/>
        </w:rPr>
        <w:t>”</w:t>
      </w:r>
    </w:p>
    <w:p w14:paraId="54ED7726" w14:textId="77777777" w:rsidR="00BF1668" w:rsidRPr="00260CDD" w:rsidRDefault="004950AA" w:rsidP="00260CDD">
      <w:pPr>
        <w:pStyle w:val="ListParagraph"/>
        <w:numPr>
          <w:ilvl w:val="0"/>
          <w:numId w:val="1"/>
        </w:numPr>
        <w:tabs>
          <w:tab w:val="left" w:pos="990"/>
        </w:tabs>
        <w:spacing w:before="120" w:after="120"/>
        <w:ind w:left="0" w:firstLine="720"/>
        <w:rPr>
          <w:rFonts w:ascii="Times New Roman" w:hAnsi="Times New Roman" w:cs="Times New Roman"/>
          <w:bCs/>
          <w:sz w:val="28"/>
          <w:szCs w:val="28"/>
          <w:lang w:val="pt-BR"/>
        </w:rPr>
      </w:pPr>
      <w:r w:rsidRPr="00644990">
        <w:rPr>
          <w:rFonts w:ascii="Times New Roman" w:hAnsi="Times New Roman" w:cs="Times New Roman"/>
          <w:bCs/>
          <w:sz w:val="28"/>
          <w:szCs w:val="28"/>
          <w:highlight w:val="yellow"/>
          <w:lang w:val="pt-BR"/>
        </w:rPr>
        <w:t xml:space="preserve">Bổ sung Điều 9b Thông tư số 32/2018/TT-BYT về tiêu chí công bố sinh </w:t>
      </w:r>
      <w:r w:rsidRPr="00260CDD">
        <w:rPr>
          <w:rFonts w:ascii="Times New Roman" w:hAnsi="Times New Roman" w:cs="Times New Roman"/>
          <w:bCs/>
          <w:sz w:val="28"/>
          <w:szCs w:val="28"/>
          <w:highlight w:val="yellow"/>
          <w:lang w:val="pt-BR"/>
        </w:rPr>
        <w:t>phẩm tham chiếu như sau</w:t>
      </w:r>
      <w:r w:rsidRPr="00260CDD">
        <w:rPr>
          <w:rFonts w:ascii="Times New Roman" w:hAnsi="Times New Roman" w:cs="Times New Roman"/>
          <w:bCs/>
          <w:sz w:val="28"/>
          <w:szCs w:val="28"/>
          <w:lang w:val="pt-BR"/>
        </w:rPr>
        <w:t>:</w:t>
      </w:r>
    </w:p>
    <w:p w14:paraId="1F01FB88" w14:textId="77777777" w:rsidR="00260CDD" w:rsidRPr="00260CDD" w:rsidRDefault="00260CDD" w:rsidP="00C43F25">
      <w:pPr>
        <w:spacing w:before="120" w:after="120"/>
        <w:ind w:firstLine="851"/>
        <w:jc w:val="both"/>
        <w:rPr>
          <w:rFonts w:ascii="Times New Roman" w:hAnsi="Times New Roman" w:cs="Times New Roman"/>
          <w:sz w:val="28"/>
          <w:szCs w:val="28"/>
        </w:rPr>
      </w:pPr>
      <w:r w:rsidRPr="00260CDD">
        <w:rPr>
          <w:rFonts w:ascii="Times New Roman" w:hAnsi="Times New Roman" w:cs="Times New Roman"/>
          <w:sz w:val="28"/>
          <w:szCs w:val="28"/>
        </w:rPr>
        <w:t>1. Điều kiện của sinh phẩm tham chiếu:</w:t>
      </w:r>
    </w:p>
    <w:p w14:paraId="2A1B4C5A" w14:textId="77777777" w:rsidR="00260CDD" w:rsidRPr="00260CDD" w:rsidRDefault="00260CDD" w:rsidP="00C43F25">
      <w:pPr>
        <w:spacing w:before="120" w:after="120"/>
        <w:ind w:firstLine="851"/>
        <w:jc w:val="both"/>
        <w:rPr>
          <w:rFonts w:ascii="Times New Roman" w:hAnsi="Times New Roman" w:cs="Times New Roman"/>
          <w:sz w:val="28"/>
          <w:szCs w:val="28"/>
        </w:rPr>
      </w:pPr>
      <w:r w:rsidRPr="00260CDD">
        <w:rPr>
          <w:rFonts w:ascii="Times New Roman" w:hAnsi="Times New Roman" w:cs="Times New Roman"/>
          <w:sz w:val="28"/>
          <w:szCs w:val="28"/>
        </w:rPr>
        <w:t xml:space="preserve">a) Có đầy đủ hồ sơ, dữ liệu về chất lượng, tiền lâm sàng, lâm sàng theo hướng phát triển một sản phẩm sinh học từ đầu, không phải phát triển theo hướng tương tự sinh học. Dữ liệu về chất lượng, tiền lâm sàng, lâm sàng được sử dụng để tham chiếu cho phát triển, cấp phép sinh phẩm tương tự. </w:t>
      </w:r>
    </w:p>
    <w:p w14:paraId="744CD828" w14:textId="77777777" w:rsidR="00260CDD" w:rsidRPr="00260CDD" w:rsidRDefault="00260CDD" w:rsidP="00C43F25">
      <w:pPr>
        <w:spacing w:before="120" w:after="120"/>
        <w:ind w:firstLine="851"/>
        <w:jc w:val="both"/>
        <w:rPr>
          <w:rFonts w:ascii="Times New Roman" w:hAnsi="Times New Roman" w:cs="Times New Roman"/>
          <w:sz w:val="28"/>
          <w:szCs w:val="28"/>
        </w:rPr>
      </w:pPr>
      <w:r w:rsidRPr="00260CDD">
        <w:rPr>
          <w:rFonts w:ascii="Times New Roman" w:hAnsi="Times New Roman" w:cs="Times New Roman"/>
          <w:sz w:val="28"/>
          <w:szCs w:val="28"/>
        </w:rPr>
        <w:t>b) Sinh phẩm được cấp phép bởi một trong các cơ quan quản lý quy định tại khoản 9 hoặc khoản 10 Điều 2 Thông tư này.</w:t>
      </w:r>
    </w:p>
    <w:p w14:paraId="430D70F7" w14:textId="77777777" w:rsidR="00260CDD" w:rsidRPr="00260CDD" w:rsidRDefault="00260CDD" w:rsidP="00C43F25">
      <w:pPr>
        <w:spacing w:before="120" w:after="120"/>
        <w:ind w:firstLine="851"/>
        <w:jc w:val="both"/>
        <w:rPr>
          <w:rFonts w:ascii="Times New Roman" w:hAnsi="Times New Roman" w:cs="Times New Roman"/>
          <w:sz w:val="28"/>
          <w:szCs w:val="28"/>
        </w:rPr>
      </w:pPr>
      <w:r w:rsidRPr="00260CDD">
        <w:rPr>
          <w:rFonts w:ascii="Times New Roman" w:hAnsi="Times New Roman" w:cs="Times New Roman"/>
          <w:sz w:val="28"/>
          <w:szCs w:val="28"/>
        </w:rPr>
        <w:t xml:space="preserve">2. Đối với sinh phẩm chưa có giấy đăng ký lưu hành tại Việt Nam, trường hợp đề nghị công bố sinh phẩm tham chiếu đồng thời với hồ sơ đề nghị cấp giấy đăng ký lưu hành: </w:t>
      </w:r>
    </w:p>
    <w:p w14:paraId="75B38613" w14:textId="77777777" w:rsidR="00260CDD" w:rsidRPr="00260CDD" w:rsidRDefault="00260CDD" w:rsidP="00C43F25">
      <w:pPr>
        <w:spacing w:before="120" w:after="120"/>
        <w:ind w:firstLine="851"/>
        <w:jc w:val="both"/>
        <w:rPr>
          <w:rFonts w:ascii="Times New Roman" w:hAnsi="Times New Roman" w:cs="Times New Roman"/>
          <w:sz w:val="28"/>
          <w:szCs w:val="28"/>
        </w:rPr>
      </w:pPr>
      <w:r w:rsidRPr="00260CDD">
        <w:rPr>
          <w:rFonts w:ascii="Times New Roman" w:hAnsi="Times New Roman" w:cs="Times New Roman"/>
          <w:sz w:val="28"/>
          <w:szCs w:val="28"/>
        </w:rPr>
        <w:t>a) Các tài liệu, hồ sơ quy định tại Điều 24, Điều 25, Điều 26, Điều 27, Điều 28 Thông tư này, hồ sơ đăng ký cần nộp thêm các tài liệu sau:</w:t>
      </w:r>
    </w:p>
    <w:p w14:paraId="032B78A6" w14:textId="77777777" w:rsidR="00260CDD" w:rsidRPr="00260CDD" w:rsidRDefault="00260CDD" w:rsidP="00C43F25">
      <w:pPr>
        <w:spacing w:before="120" w:after="120"/>
        <w:ind w:firstLine="851"/>
        <w:jc w:val="both"/>
        <w:rPr>
          <w:rFonts w:ascii="Times New Roman" w:hAnsi="Times New Roman" w:cs="Times New Roman"/>
          <w:sz w:val="28"/>
          <w:szCs w:val="28"/>
        </w:rPr>
      </w:pPr>
      <w:r w:rsidRPr="00260CDD">
        <w:rPr>
          <w:rFonts w:ascii="Times New Roman" w:hAnsi="Times New Roman" w:cs="Times New Roman"/>
          <w:sz w:val="28"/>
          <w:szCs w:val="28"/>
        </w:rPr>
        <w:t>b) CPP được cấp phép bởi một trong các cơ quan quản lý quy định tại khoản 9 hoặc khoản 10 Điều 2 Thông tư này.</w:t>
      </w:r>
    </w:p>
    <w:p w14:paraId="35C02197" w14:textId="77777777" w:rsidR="00260CDD" w:rsidRPr="00260CDD" w:rsidRDefault="00260CDD" w:rsidP="00C43F25">
      <w:pPr>
        <w:tabs>
          <w:tab w:val="left" w:pos="1134"/>
        </w:tabs>
        <w:spacing w:before="120" w:after="120"/>
        <w:ind w:firstLine="851"/>
        <w:jc w:val="both"/>
        <w:rPr>
          <w:rFonts w:ascii="Times New Roman" w:hAnsi="Times New Roman" w:cs="Times New Roman"/>
          <w:sz w:val="28"/>
          <w:szCs w:val="28"/>
        </w:rPr>
      </w:pPr>
      <w:r w:rsidRPr="00260CDD">
        <w:rPr>
          <w:rFonts w:ascii="Times New Roman" w:hAnsi="Times New Roman" w:cs="Times New Roman"/>
          <w:sz w:val="28"/>
          <w:szCs w:val="28"/>
        </w:rPr>
        <w:t xml:space="preserve">c) Tài liệu chứng minh về việc sinh phẩm được công nhận là sinh phẩm tham chiếu tại các nước có cơ quan quản lý tham chiếu hoặc SRA: Danh mục sinh phẩm tham chiếu của cơ quan quản lý quy định tại khoản 9 hoặc khoản 10 Điều 2 Thông tư này hoặc tài liệu liên quan tới cấp phép một sinh phẩm tương tự có sử dụng sinh phẩm đang đăng ký làm sinh phẩm tham chiếu), các tài liệu khác liên quan (nếu có). </w:t>
      </w:r>
    </w:p>
    <w:p w14:paraId="26D57AEC" w14:textId="77777777" w:rsidR="00260CDD" w:rsidRPr="00260CDD" w:rsidRDefault="00260CDD" w:rsidP="00C43F25">
      <w:pPr>
        <w:tabs>
          <w:tab w:val="left" w:pos="1134"/>
        </w:tabs>
        <w:spacing w:before="120" w:after="120"/>
        <w:ind w:firstLine="851"/>
        <w:jc w:val="both"/>
        <w:rPr>
          <w:rFonts w:ascii="Times New Roman" w:hAnsi="Times New Roman" w:cs="Times New Roman"/>
          <w:sz w:val="28"/>
          <w:szCs w:val="28"/>
        </w:rPr>
      </w:pPr>
      <w:r w:rsidRPr="00260CDD">
        <w:rPr>
          <w:rFonts w:ascii="Times New Roman" w:hAnsi="Times New Roman" w:cs="Times New Roman"/>
          <w:sz w:val="28"/>
          <w:szCs w:val="28"/>
        </w:rPr>
        <w:t>3. Đối với sinh phẩm đã được cấp giấy đăng ký lưu hành, trường hợp đề nghị công bố sinh phẩm tham chiếu thì</w:t>
      </w:r>
      <w:r w:rsidRPr="00260CDD" w:rsidDel="00AA3002">
        <w:rPr>
          <w:rFonts w:ascii="Times New Roman" w:hAnsi="Times New Roman" w:cs="Times New Roman"/>
          <w:sz w:val="28"/>
          <w:szCs w:val="28"/>
        </w:rPr>
        <w:t xml:space="preserve"> </w:t>
      </w:r>
      <w:r w:rsidRPr="00260CDD">
        <w:rPr>
          <w:rFonts w:ascii="Times New Roman" w:hAnsi="Times New Roman" w:cs="Times New Roman"/>
          <w:sz w:val="28"/>
          <w:szCs w:val="28"/>
        </w:rPr>
        <w:t>thực hiện như sau:</w:t>
      </w:r>
    </w:p>
    <w:p w14:paraId="66D96AC7" w14:textId="5A3450EB" w:rsidR="00260CDD" w:rsidRPr="006F07DE" w:rsidRDefault="006F07DE" w:rsidP="00C43F25">
      <w:pPr>
        <w:tabs>
          <w:tab w:val="left" w:pos="1134"/>
        </w:tabs>
        <w:spacing w:before="120" w:after="120"/>
        <w:ind w:firstLine="851"/>
        <w:jc w:val="both"/>
        <w:rPr>
          <w:rFonts w:ascii="Times New Roman" w:hAnsi="Times New Roman" w:cs="Times New Roman"/>
          <w:sz w:val="28"/>
          <w:szCs w:val="28"/>
        </w:rPr>
      </w:pPr>
      <w:r>
        <w:rPr>
          <w:rFonts w:ascii="Times New Roman" w:hAnsi="Times New Roman" w:cs="Times New Roman"/>
          <w:sz w:val="28"/>
          <w:szCs w:val="28"/>
          <w:lang w:val="en-US"/>
        </w:rPr>
        <w:lastRenderedPageBreak/>
        <w:t>a)</w:t>
      </w:r>
      <w:r w:rsidR="00260CDD" w:rsidRPr="006F07DE">
        <w:rPr>
          <w:rFonts w:ascii="Times New Roman" w:hAnsi="Times New Roman" w:cs="Times New Roman"/>
          <w:sz w:val="28"/>
          <w:szCs w:val="28"/>
        </w:rPr>
        <w:t xml:space="preserve"> Sinh phẩm đã được Bộ Y tế công bố là biệt dược gốc </w:t>
      </w:r>
      <w:proofErr w:type="gramStart"/>
      <w:r w:rsidR="00260CDD" w:rsidRPr="006F07DE">
        <w:rPr>
          <w:rFonts w:ascii="Times New Roman" w:hAnsi="Times New Roman" w:cs="Times New Roman"/>
          <w:sz w:val="28"/>
          <w:szCs w:val="28"/>
        </w:rPr>
        <w:t>theo</w:t>
      </w:r>
      <w:proofErr w:type="gramEnd"/>
      <w:r w:rsidR="00260CDD" w:rsidRPr="006F07DE">
        <w:rPr>
          <w:rFonts w:ascii="Times New Roman" w:hAnsi="Times New Roman" w:cs="Times New Roman"/>
          <w:sz w:val="28"/>
          <w:szCs w:val="28"/>
        </w:rPr>
        <w:t xml:space="preserve"> các quy định trước đây của Bộ Y tế: </w:t>
      </w:r>
    </w:p>
    <w:p w14:paraId="3DE2333A" w14:textId="43648C37" w:rsidR="00260CDD" w:rsidRPr="00260CDD" w:rsidRDefault="006F07DE" w:rsidP="00C43F25">
      <w:pPr>
        <w:tabs>
          <w:tab w:val="left" w:pos="1134"/>
        </w:tabs>
        <w:spacing w:before="120" w:after="120"/>
        <w:ind w:firstLine="851"/>
        <w:jc w:val="both"/>
        <w:rPr>
          <w:rFonts w:ascii="Times New Roman" w:hAnsi="Times New Roman" w:cs="Times New Roman"/>
          <w:sz w:val="28"/>
          <w:szCs w:val="28"/>
        </w:rPr>
      </w:pPr>
      <w:r>
        <w:rPr>
          <w:rFonts w:ascii="Times New Roman" w:hAnsi="Times New Roman" w:cs="Times New Roman"/>
          <w:sz w:val="28"/>
          <w:szCs w:val="28"/>
          <w:lang w:val="en-US"/>
        </w:rPr>
        <w:t>-</w:t>
      </w:r>
      <w:r w:rsidR="00260CDD" w:rsidRPr="00260CDD">
        <w:rPr>
          <w:rFonts w:ascii="Times New Roman" w:hAnsi="Times New Roman" w:cs="Times New Roman"/>
          <w:sz w:val="28"/>
          <w:szCs w:val="28"/>
        </w:rPr>
        <w:t xml:space="preserve"> Trường hợp sinh phẩm đã được công nhận là sinh phẩm tham chiếu ở một trong các nước có cơ quan quản lý tham chiếu hoặc SRA thì được công nhận là sinh phẩm tham chiếu tại Việt Nam. Cơ sở thực hiện cập nhật phân loại sinh phẩm theo chiếu theo quy định tại Phụ lục II Thông tư này.</w:t>
      </w:r>
    </w:p>
    <w:p w14:paraId="17D98DCC" w14:textId="77777777" w:rsidR="006F07DE" w:rsidRDefault="00260CDD" w:rsidP="00C43F25">
      <w:pPr>
        <w:tabs>
          <w:tab w:val="left" w:pos="1134"/>
        </w:tabs>
        <w:spacing w:before="120" w:after="120"/>
        <w:ind w:firstLine="851"/>
        <w:jc w:val="both"/>
        <w:rPr>
          <w:rFonts w:ascii="Times New Roman" w:hAnsi="Times New Roman" w:cs="Times New Roman"/>
          <w:sz w:val="28"/>
          <w:szCs w:val="28"/>
        </w:rPr>
      </w:pPr>
      <w:r w:rsidRPr="006F07DE">
        <w:rPr>
          <w:rFonts w:ascii="Times New Roman" w:hAnsi="Times New Roman" w:cs="Times New Roman"/>
          <w:sz w:val="28"/>
          <w:szCs w:val="28"/>
        </w:rPr>
        <w:t>Hồ sơ cần nộp theo Phụ lục II</w:t>
      </w:r>
      <w:r w:rsidR="006F07DE">
        <w:rPr>
          <w:rFonts w:ascii="Times New Roman" w:hAnsi="Times New Roman" w:cs="Times New Roman"/>
          <w:sz w:val="28"/>
          <w:szCs w:val="28"/>
        </w:rPr>
        <w:t>:</w:t>
      </w:r>
    </w:p>
    <w:p w14:paraId="416AC55A" w14:textId="77777777" w:rsidR="006F07DE" w:rsidRDefault="006F07DE" w:rsidP="00C43F25">
      <w:pPr>
        <w:tabs>
          <w:tab w:val="left" w:pos="1134"/>
        </w:tabs>
        <w:spacing w:before="120" w:after="120"/>
        <w:ind w:firstLine="851"/>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260CDD" w:rsidRPr="006F07DE">
        <w:rPr>
          <w:rFonts w:ascii="Times New Roman" w:hAnsi="Times New Roman" w:cs="Times New Roman"/>
          <w:sz w:val="28"/>
          <w:szCs w:val="28"/>
        </w:rPr>
        <w:t xml:space="preserve">Tài liệu chứng minh về việc được công nhận là Sinh phẩm tham chiếu tại các nước tham chiếu hoặc SRA (Danh mục sinh phẩm tham chiếu của cơ quan quản lý tham chiếu hoặc SRA hoặc tài liệu liên quan tới cấp phép một sinh phẩm tương tự có sử dụng sinh phẩm đang đăng ký làm sinh phẩm tham chiếu), các tài liệu khác liên quan (nếu có). </w:t>
      </w:r>
    </w:p>
    <w:p w14:paraId="3DEE000E" w14:textId="0251E40C" w:rsidR="00260CDD" w:rsidRPr="006F07DE" w:rsidRDefault="006F07DE" w:rsidP="00C43F25">
      <w:pPr>
        <w:tabs>
          <w:tab w:val="left" w:pos="1134"/>
        </w:tabs>
        <w:spacing w:before="120" w:after="120"/>
        <w:ind w:firstLine="851"/>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260CDD" w:rsidRPr="006F07DE">
        <w:rPr>
          <w:rFonts w:ascii="Times New Roman" w:hAnsi="Times New Roman" w:cs="Times New Roman"/>
          <w:sz w:val="28"/>
          <w:szCs w:val="28"/>
        </w:rPr>
        <w:t>CPP được cấp phép lưu hành bởi một trong các cơ quan quản lý quy định tại khoản 9 hoặc khoản 10 Điều 2 Thông tư này, trừ trường hợp sản xuất tại Việt Nam.</w:t>
      </w:r>
    </w:p>
    <w:p w14:paraId="6E84DB8B" w14:textId="5339B5C3" w:rsidR="00260CDD" w:rsidRPr="00260CDD" w:rsidRDefault="006F07DE" w:rsidP="00C43F25">
      <w:pPr>
        <w:tabs>
          <w:tab w:val="left" w:pos="750"/>
        </w:tabs>
        <w:spacing w:before="120" w:after="120"/>
        <w:ind w:firstLine="851"/>
        <w:jc w:val="both"/>
        <w:rPr>
          <w:rFonts w:ascii="Times New Roman" w:hAnsi="Times New Roman" w:cs="Times New Roman"/>
          <w:sz w:val="28"/>
          <w:szCs w:val="28"/>
        </w:rPr>
      </w:pPr>
      <w:r>
        <w:rPr>
          <w:rFonts w:ascii="Times New Roman" w:hAnsi="Times New Roman" w:cs="Times New Roman"/>
          <w:sz w:val="28"/>
          <w:szCs w:val="28"/>
          <w:lang w:val="en-US"/>
        </w:rPr>
        <w:t>-</w:t>
      </w:r>
      <w:r w:rsidR="00260CDD" w:rsidRPr="00260CDD">
        <w:rPr>
          <w:rFonts w:ascii="Times New Roman" w:hAnsi="Times New Roman" w:cs="Times New Roman"/>
          <w:sz w:val="28"/>
          <w:szCs w:val="28"/>
        </w:rPr>
        <w:t xml:space="preserve"> Trường hợp sinh phẩm chưa được công nhận là sinh phẩm tham chiếu ở một trong các nước có cơ quan quản lý tham chiếu hoặc SRA, sinh phẩm phải có tài liệu tiền lâm sàng, lâm sàng và được cấp phép lưu hành ở một trong các nước có cơ quan quản lý tham chiếu hoặc SRA. Cơ sở thực hiện cập nhật phân loại sinh phẩm theo chiếu theo quy định tại Phụ lục II Thông tư này.</w:t>
      </w:r>
    </w:p>
    <w:p w14:paraId="79E7681E" w14:textId="350317C8" w:rsidR="00260CDD" w:rsidRPr="00260CDD" w:rsidRDefault="00260CDD" w:rsidP="00C43F25">
      <w:pPr>
        <w:tabs>
          <w:tab w:val="left" w:pos="750"/>
        </w:tabs>
        <w:spacing w:before="120" w:after="120"/>
        <w:ind w:firstLine="851"/>
        <w:jc w:val="both"/>
        <w:rPr>
          <w:rFonts w:ascii="Times New Roman" w:hAnsi="Times New Roman" w:cs="Times New Roman"/>
          <w:sz w:val="28"/>
          <w:szCs w:val="28"/>
        </w:rPr>
      </w:pPr>
      <w:r w:rsidRPr="00260CDD">
        <w:rPr>
          <w:rFonts w:ascii="Times New Roman" w:hAnsi="Times New Roman" w:cs="Times New Roman"/>
          <w:sz w:val="28"/>
          <w:szCs w:val="28"/>
        </w:rPr>
        <w:t xml:space="preserve">Hồ sơ cần nộp theo Phụ lục II: </w:t>
      </w:r>
    </w:p>
    <w:p w14:paraId="3D923438" w14:textId="7AA30223" w:rsidR="00260CDD" w:rsidRPr="00260CDD" w:rsidRDefault="006F07DE" w:rsidP="00C43F25">
      <w:pPr>
        <w:pStyle w:val="ListParagraph"/>
        <w:tabs>
          <w:tab w:val="left" w:pos="750"/>
        </w:tabs>
        <w:spacing w:before="120" w:after="120" w:line="240" w:lineRule="auto"/>
        <w:ind w:left="0" w:firstLine="851"/>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260CDD" w:rsidRPr="00260CDD">
        <w:rPr>
          <w:rFonts w:ascii="Times New Roman" w:hAnsi="Times New Roman" w:cs="Times New Roman"/>
          <w:sz w:val="28"/>
          <w:szCs w:val="28"/>
        </w:rPr>
        <w:t xml:space="preserve">Tài liệu tiền lâm sàng, lâm sàng. Tài liệu này được trình bày </w:t>
      </w:r>
      <w:proofErr w:type="gramStart"/>
      <w:r w:rsidR="00260CDD" w:rsidRPr="00260CDD">
        <w:rPr>
          <w:rFonts w:ascii="Times New Roman" w:hAnsi="Times New Roman" w:cs="Times New Roman"/>
          <w:sz w:val="28"/>
          <w:szCs w:val="28"/>
        </w:rPr>
        <w:t>theo</w:t>
      </w:r>
      <w:proofErr w:type="gramEnd"/>
      <w:r w:rsidR="00260CDD" w:rsidRPr="00260CDD">
        <w:rPr>
          <w:rFonts w:ascii="Times New Roman" w:hAnsi="Times New Roman" w:cs="Times New Roman"/>
          <w:sz w:val="28"/>
          <w:szCs w:val="28"/>
        </w:rPr>
        <w:t xml:space="preserve"> quy định hồ sơ ACTD hoặc ICH-CTD. Đối với nghiên cứu lâm sàng thực hiện </w:t>
      </w:r>
      <w:proofErr w:type="gramStart"/>
      <w:r w:rsidR="00260CDD" w:rsidRPr="00260CDD">
        <w:rPr>
          <w:rFonts w:ascii="Times New Roman" w:hAnsi="Times New Roman" w:cs="Times New Roman"/>
          <w:sz w:val="28"/>
          <w:szCs w:val="28"/>
        </w:rPr>
        <w:t>theo</w:t>
      </w:r>
      <w:proofErr w:type="gramEnd"/>
      <w:r w:rsidR="00260CDD" w:rsidRPr="00260CDD">
        <w:rPr>
          <w:rFonts w:ascii="Times New Roman" w:hAnsi="Times New Roman" w:cs="Times New Roman"/>
          <w:sz w:val="28"/>
          <w:szCs w:val="28"/>
        </w:rPr>
        <w:t xml:space="preserve"> các quy định cũ trước khi có quy định hồ sơ ACTD hoặc ICH-CTD, chấp nhận trình bày chưa theo quy định hồ sơ ACTD hoặc ICH-CTD và cơ sở phải có giải trình phù hợp.</w:t>
      </w:r>
    </w:p>
    <w:p w14:paraId="2CEA22C9" w14:textId="44D4940E" w:rsidR="00260CDD" w:rsidRPr="00260CDD" w:rsidRDefault="006F07DE" w:rsidP="00C43F25">
      <w:pPr>
        <w:pStyle w:val="ListParagraph"/>
        <w:tabs>
          <w:tab w:val="left" w:pos="750"/>
        </w:tabs>
        <w:spacing w:before="120" w:after="120" w:line="240" w:lineRule="auto"/>
        <w:ind w:left="0" w:firstLine="851"/>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260CDD" w:rsidRPr="00260CDD">
        <w:rPr>
          <w:rFonts w:ascii="Times New Roman" w:hAnsi="Times New Roman" w:cs="Times New Roman"/>
          <w:sz w:val="28"/>
          <w:szCs w:val="28"/>
        </w:rPr>
        <w:t>CPP được cấp phép lưu hành bởi một trong các cơ quan quản lý quy định tại khoản 9 hoặc khoản 10 Điều 2 Thông tư này, trừ trường hợp sản xuất tại Việt Nam.</w:t>
      </w:r>
    </w:p>
    <w:p w14:paraId="2D4535B7" w14:textId="408817C1" w:rsidR="00260CDD" w:rsidRPr="006F07DE" w:rsidRDefault="006F07DE" w:rsidP="00C43F25">
      <w:pPr>
        <w:tabs>
          <w:tab w:val="left" w:pos="750"/>
        </w:tabs>
        <w:spacing w:before="120" w:after="120"/>
        <w:ind w:firstLine="851"/>
        <w:jc w:val="both"/>
        <w:rPr>
          <w:rFonts w:ascii="Times New Roman" w:hAnsi="Times New Roman" w:cs="Times New Roman"/>
          <w:sz w:val="28"/>
          <w:szCs w:val="28"/>
        </w:rPr>
      </w:pPr>
      <w:r>
        <w:rPr>
          <w:rFonts w:ascii="Times New Roman" w:hAnsi="Times New Roman" w:cs="Times New Roman"/>
          <w:sz w:val="28"/>
          <w:szCs w:val="28"/>
          <w:lang w:val="en-US"/>
        </w:rPr>
        <w:t>b)</w:t>
      </w:r>
      <w:r w:rsidR="00260CDD" w:rsidRPr="006F07DE">
        <w:rPr>
          <w:rFonts w:ascii="Times New Roman" w:hAnsi="Times New Roman" w:cs="Times New Roman"/>
          <w:sz w:val="28"/>
          <w:szCs w:val="28"/>
        </w:rPr>
        <w:t xml:space="preserve"> Sinh phẩm chưa được Bộ Y tế công bố là biệt dược gốc:</w:t>
      </w:r>
    </w:p>
    <w:p w14:paraId="532A65E7" w14:textId="77777777" w:rsidR="00260CDD" w:rsidRPr="00260CDD" w:rsidRDefault="00260CDD" w:rsidP="00C43F25">
      <w:pPr>
        <w:tabs>
          <w:tab w:val="left" w:pos="750"/>
        </w:tabs>
        <w:spacing w:before="120" w:after="120"/>
        <w:ind w:firstLine="851"/>
        <w:jc w:val="both"/>
        <w:rPr>
          <w:rFonts w:ascii="Times New Roman" w:hAnsi="Times New Roman" w:cs="Times New Roman"/>
          <w:sz w:val="28"/>
          <w:szCs w:val="28"/>
        </w:rPr>
      </w:pPr>
      <w:r w:rsidRPr="00260CDD">
        <w:rPr>
          <w:rFonts w:ascii="Times New Roman" w:hAnsi="Times New Roman" w:cs="Times New Roman"/>
          <w:sz w:val="28"/>
          <w:szCs w:val="28"/>
        </w:rPr>
        <w:t>- Sinh phẩm được công bố là sinh phẩm tham chiếu nếu có tài liệu tiền lâm sàng, lâm sàng và được cấp phép lưu hành ở một trong các nước có cơ quan quản lý tham chiếu hoặc SRA. Cơ sở thực hiện cập nhật phân loại sinh phẩm tham chiếu theo quy định tại Phụ lục II Thông tư này.</w:t>
      </w:r>
    </w:p>
    <w:p w14:paraId="1C942025" w14:textId="63BF958F" w:rsidR="00260CDD" w:rsidRPr="00260CDD" w:rsidRDefault="00260CDD" w:rsidP="00C43F25">
      <w:pPr>
        <w:tabs>
          <w:tab w:val="left" w:pos="750"/>
        </w:tabs>
        <w:spacing w:before="120" w:after="120"/>
        <w:ind w:firstLine="851"/>
        <w:jc w:val="both"/>
        <w:rPr>
          <w:rFonts w:ascii="Times New Roman" w:hAnsi="Times New Roman" w:cs="Times New Roman"/>
          <w:sz w:val="28"/>
          <w:szCs w:val="28"/>
        </w:rPr>
      </w:pPr>
      <w:r w:rsidRPr="00260CDD">
        <w:rPr>
          <w:rFonts w:ascii="Times New Roman" w:hAnsi="Times New Roman" w:cs="Times New Roman"/>
          <w:sz w:val="28"/>
          <w:szCs w:val="28"/>
        </w:rPr>
        <w:t xml:space="preserve">Hồ sơ cần nộp theo Phụ lục II: </w:t>
      </w:r>
    </w:p>
    <w:p w14:paraId="79A1DB05" w14:textId="7E9DD0A0" w:rsidR="00260CDD" w:rsidRPr="00260CDD" w:rsidRDefault="003F19E6" w:rsidP="00C43F25">
      <w:pPr>
        <w:pStyle w:val="ListParagraph"/>
        <w:tabs>
          <w:tab w:val="left" w:pos="750"/>
        </w:tabs>
        <w:spacing w:before="120" w:after="120" w:line="240" w:lineRule="auto"/>
        <w:ind w:left="0" w:firstLine="851"/>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260CDD" w:rsidRPr="00260CDD">
        <w:rPr>
          <w:rFonts w:ascii="Times New Roman" w:hAnsi="Times New Roman" w:cs="Times New Roman"/>
          <w:sz w:val="28"/>
          <w:szCs w:val="28"/>
        </w:rPr>
        <w:t>CPP được cấp phép bởi một trong các cơ quan quản lý quy định tại khoản 9 hoặc khoản 10 Điều 2 Thông tư này.</w:t>
      </w:r>
    </w:p>
    <w:p w14:paraId="50D9AC43" w14:textId="77777777" w:rsidR="003F19E6" w:rsidRDefault="003F19E6" w:rsidP="00C43F25">
      <w:pPr>
        <w:pStyle w:val="ListParagraph"/>
        <w:tabs>
          <w:tab w:val="left" w:pos="750"/>
        </w:tabs>
        <w:spacing w:before="120" w:after="120" w:line="240" w:lineRule="auto"/>
        <w:ind w:left="0" w:firstLine="851"/>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260CDD" w:rsidRPr="00260CDD">
        <w:rPr>
          <w:rFonts w:ascii="Times New Roman" w:hAnsi="Times New Roman" w:cs="Times New Roman"/>
          <w:sz w:val="28"/>
          <w:szCs w:val="28"/>
        </w:rPr>
        <w:t xml:space="preserve">Tài liệu chứng minh về việc sinh phẩm được công nhận là sinh phẩm tham chiếu tại các nước có cơ quan quản lý tham chiếu hoặc SRA: Danh mục sinh phẩm tham chiếu của cơ quan quản lý quy định tại khoản 9 hoặc khoản 10 Điều 2 </w:t>
      </w:r>
      <w:r w:rsidR="00260CDD" w:rsidRPr="00260CDD">
        <w:rPr>
          <w:rFonts w:ascii="Times New Roman" w:hAnsi="Times New Roman" w:cs="Times New Roman"/>
          <w:sz w:val="28"/>
          <w:szCs w:val="28"/>
        </w:rPr>
        <w:lastRenderedPageBreak/>
        <w:t xml:space="preserve">Thông tư này hoặc tài liệu liên quan tới cấp phép một sinh phẩm tương tự có sử dụng sinh phẩm đang đăng ký làm sinh phẩm tham chiếu), các tài liệu khác liên quan (nếu có). </w:t>
      </w:r>
    </w:p>
    <w:p w14:paraId="59879038" w14:textId="0A3005D3" w:rsidR="00260CDD" w:rsidRPr="003F19E6" w:rsidRDefault="003F19E6" w:rsidP="00C43F25">
      <w:pPr>
        <w:pStyle w:val="ListParagraph"/>
        <w:tabs>
          <w:tab w:val="left" w:pos="750"/>
        </w:tabs>
        <w:spacing w:before="120" w:after="120" w:line="240" w:lineRule="auto"/>
        <w:ind w:left="0" w:firstLine="851"/>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260CDD" w:rsidRPr="003F19E6">
        <w:rPr>
          <w:rFonts w:ascii="Times New Roman" w:hAnsi="Times New Roman" w:cs="Times New Roman"/>
          <w:sz w:val="28"/>
          <w:szCs w:val="28"/>
        </w:rPr>
        <w:t xml:space="preserve">Trường hợp chưa có tài liệu chứng minh về việc sinh phẩm được công nhận là sinh phẩm tham chiếu tại các nước có cơ quan quản lý tham chiếu hoặc SRA, cần nộp tài liệu tiền lâm sàng, lâm sàng. Tài liệu này được trình bày </w:t>
      </w:r>
      <w:proofErr w:type="gramStart"/>
      <w:r w:rsidR="00260CDD" w:rsidRPr="003F19E6">
        <w:rPr>
          <w:rFonts w:ascii="Times New Roman" w:hAnsi="Times New Roman" w:cs="Times New Roman"/>
          <w:sz w:val="28"/>
          <w:szCs w:val="28"/>
        </w:rPr>
        <w:t>theo</w:t>
      </w:r>
      <w:proofErr w:type="gramEnd"/>
      <w:r w:rsidR="00260CDD" w:rsidRPr="003F19E6">
        <w:rPr>
          <w:rFonts w:ascii="Times New Roman" w:hAnsi="Times New Roman" w:cs="Times New Roman"/>
          <w:sz w:val="28"/>
          <w:szCs w:val="28"/>
        </w:rPr>
        <w:t xml:space="preserve"> quy định hồ sơ ACTD hoặc ICH-CTD. Đối với nghiên cứu lâm sàng thực hiện </w:t>
      </w:r>
      <w:proofErr w:type="gramStart"/>
      <w:r w:rsidR="00260CDD" w:rsidRPr="003F19E6">
        <w:rPr>
          <w:rFonts w:ascii="Times New Roman" w:hAnsi="Times New Roman" w:cs="Times New Roman"/>
          <w:sz w:val="28"/>
          <w:szCs w:val="28"/>
        </w:rPr>
        <w:t>theo</w:t>
      </w:r>
      <w:proofErr w:type="gramEnd"/>
      <w:r w:rsidR="00260CDD" w:rsidRPr="003F19E6">
        <w:rPr>
          <w:rFonts w:ascii="Times New Roman" w:hAnsi="Times New Roman" w:cs="Times New Roman"/>
          <w:sz w:val="28"/>
          <w:szCs w:val="28"/>
        </w:rPr>
        <w:t xml:space="preserve"> các quy định cũ trước khi có quy định hồ sơ ACTD hoặc ICH-CTD, chấp nhận trình bày chưa theo quy định hồ sơ ACTD hoặc ICH-CTD và cơ sở phải có giải trình phù hợp.</w:t>
      </w:r>
    </w:p>
    <w:p w14:paraId="40B4A363" w14:textId="7678BA32" w:rsidR="00260CDD" w:rsidRPr="00260CDD" w:rsidRDefault="003F19E6" w:rsidP="00C43F25">
      <w:pPr>
        <w:tabs>
          <w:tab w:val="left" w:pos="750"/>
        </w:tabs>
        <w:spacing w:before="120" w:after="120"/>
        <w:ind w:firstLine="851"/>
        <w:jc w:val="both"/>
        <w:rPr>
          <w:rFonts w:ascii="Times New Roman" w:hAnsi="Times New Roman" w:cs="Times New Roman"/>
          <w:sz w:val="28"/>
          <w:szCs w:val="28"/>
        </w:rPr>
      </w:pPr>
      <w:r>
        <w:rPr>
          <w:rFonts w:ascii="Times New Roman" w:hAnsi="Times New Roman" w:cs="Times New Roman"/>
          <w:sz w:val="28"/>
          <w:szCs w:val="28"/>
          <w:lang w:val="en-US"/>
        </w:rPr>
        <w:t>c)</w:t>
      </w:r>
      <w:r w:rsidR="00260CDD" w:rsidRPr="00260CDD">
        <w:rPr>
          <w:rFonts w:ascii="Times New Roman" w:hAnsi="Times New Roman" w:cs="Times New Roman"/>
          <w:sz w:val="28"/>
          <w:szCs w:val="28"/>
        </w:rPr>
        <w:t xml:space="preserve"> Sinh phẩm đã được cấp GĐKLH và được Bộ Y tế Việt Nam công bố là sinh phẩm tham chiếu sau đó thực hiện gia hạn, thay đổi bổ sung hoặc đăng ký lại theo quy định tại Thông tư 44/2014/TT-BYT hoặc chuyển giao công nghệ sản xuất tại Việt Nam thì được xem xét phân loại sinh phẩm tham chiếu như sau:</w:t>
      </w:r>
    </w:p>
    <w:p w14:paraId="6CECEE25" w14:textId="1E7F9CF3" w:rsidR="00260CDD" w:rsidRPr="00260CDD" w:rsidRDefault="003F19E6" w:rsidP="00C43F25">
      <w:pPr>
        <w:tabs>
          <w:tab w:val="left" w:pos="750"/>
        </w:tabs>
        <w:spacing w:before="120" w:after="120"/>
        <w:ind w:firstLine="851"/>
        <w:jc w:val="both"/>
        <w:rPr>
          <w:rFonts w:ascii="Times New Roman" w:hAnsi="Times New Roman" w:cs="Times New Roman"/>
          <w:sz w:val="28"/>
          <w:szCs w:val="28"/>
        </w:rPr>
      </w:pPr>
      <w:r>
        <w:rPr>
          <w:rFonts w:ascii="Times New Roman" w:hAnsi="Times New Roman" w:cs="Times New Roman"/>
          <w:sz w:val="28"/>
          <w:szCs w:val="28"/>
          <w:lang w:val="en-US"/>
        </w:rPr>
        <w:t>-</w:t>
      </w:r>
      <w:r w:rsidR="00260CDD" w:rsidRPr="00260CDD">
        <w:rPr>
          <w:rFonts w:ascii="Times New Roman" w:hAnsi="Times New Roman" w:cs="Times New Roman"/>
          <w:sz w:val="28"/>
          <w:szCs w:val="28"/>
        </w:rPr>
        <w:t xml:space="preserve"> Sinh phẩm tham chiếu được gia hạn hoặc đăng ký lại </w:t>
      </w:r>
      <w:proofErr w:type="gramStart"/>
      <w:r w:rsidR="00260CDD" w:rsidRPr="00260CDD">
        <w:rPr>
          <w:rFonts w:ascii="Times New Roman" w:hAnsi="Times New Roman" w:cs="Times New Roman"/>
          <w:sz w:val="28"/>
          <w:szCs w:val="28"/>
        </w:rPr>
        <w:t>theo</w:t>
      </w:r>
      <w:proofErr w:type="gramEnd"/>
      <w:r w:rsidR="00260CDD" w:rsidRPr="00260CDD">
        <w:rPr>
          <w:rFonts w:ascii="Times New Roman" w:hAnsi="Times New Roman" w:cs="Times New Roman"/>
          <w:sz w:val="28"/>
          <w:szCs w:val="28"/>
        </w:rPr>
        <w:t xml:space="preserve"> quy định tại Thông tư 44/2014/TT-BYT thì được tiếp tục công nhận là sinh phẩm tham chiếu.</w:t>
      </w:r>
    </w:p>
    <w:p w14:paraId="32E263E7" w14:textId="787CE28D" w:rsidR="00260CDD" w:rsidRPr="00260CDD" w:rsidRDefault="003F19E6" w:rsidP="00C43F25">
      <w:pPr>
        <w:tabs>
          <w:tab w:val="left" w:pos="750"/>
        </w:tabs>
        <w:spacing w:before="120" w:after="120"/>
        <w:ind w:firstLine="851"/>
        <w:jc w:val="both"/>
        <w:rPr>
          <w:rFonts w:ascii="Times New Roman" w:hAnsi="Times New Roman" w:cs="Times New Roman"/>
          <w:i/>
          <w:sz w:val="28"/>
          <w:szCs w:val="28"/>
        </w:rPr>
      </w:pPr>
      <w:r w:rsidRPr="003F19E6">
        <w:rPr>
          <w:rFonts w:ascii="Times New Roman" w:hAnsi="Times New Roman" w:cs="Times New Roman"/>
          <w:sz w:val="28"/>
          <w:szCs w:val="28"/>
          <w:lang w:val="en-US"/>
        </w:rPr>
        <w:t>-</w:t>
      </w:r>
      <w:r w:rsidR="00260CDD" w:rsidRPr="003F19E6">
        <w:rPr>
          <w:rFonts w:ascii="Times New Roman" w:hAnsi="Times New Roman" w:cs="Times New Roman"/>
          <w:sz w:val="28"/>
          <w:szCs w:val="28"/>
        </w:rPr>
        <w:t xml:space="preserve"> Sinh phẩm tham chiếu thay đổi bổ sung không dẫn đến cấp giấy đăng ký lưu hành mới:</w:t>
      </w:r>
      <w:r>
        <w:rPr>
          <w:rFonts w:ascii="Times New Roman" w:hAnsi="Times New Roman" w:cs="Times New Roman"/>
          <w:sz w:val="28"/>
          <w:szCs w:val="28"/>
          <w:lang w:val="en-US"/>
        </w:rPr>
        <w:t xml:space="preserve"> </w:t>
      </w:r>
      <w:r w:rsidR="00260CDD" w:rsidRPr="00260CDD">
        <w:rPr>
          <w:rFonts w:ascii="Times New Roman" w:hAnsi="Times New Roman" w:cs="Times New Roman"/>
          <w:sz w:val="28"/>
          <w:szCs w:val="28"/>
        </w:rPr>
        <w:t>Nếu không làm thay đổi dữ liệu chất lượng, tiền lâm sàng, lâm sàng và sinh phẩm vẫn được cấp phép lưu hành ở nước tham chiếu hoặc nước SRA thì tiếp tục được công nhận là sinh phẩm tham chiếu</w:t>
      </w:r>
      <w:r w:rsidR="00260CDD" w:rsidRPr="00260CDD">
        <w:rPr>
          <w:rFonts w:ascii="Times New Roman" w:hAnsi="Times New Roman" w:cs="Times New Roman"/>
          <w:i/>
          <w:sz w:val="28"/>
          <w:szCs w:val="28"/>
        </w:rPr>
        <w:t xml:space="preserve">. </w:t>
      </w:r>
      <w:r w:rsidR="00260CDD" w:rsidRPr="00260CDD">
        <w:rPr>
          <w:rFonts w:ascii="Times New Roman" w:hAnsi="Times New Roman" w:cs="Times New Roman"/>
          <w:sz w:val="28"/>
          <w:szCs w:val="28"/>
        </w:rPr>
        <w:t>Cơ sở thực hiện cập nhật phân loại sinh phẩm theo chiếu theo quy định tại Phụ lục II Thông tư này.</w:t>
      </w:r>
    </w:p>
    <w:p w14:paraId="321F617F" w14:textId="123811C9" w:rsidR="00260CDD" w:rsidRPr="00260CDD" w:rsidRDefault="00260CDD" w:rsidP="00C43F25">
      <w:pPr>
        <w:tabs>
          <w:tab w:val="left" w:pos="750"/>
        </w:tabs>
        <w:spacing w:before="120" w:after="120"/>
        <w:ind w:firstLine="851"/>
        <w:jc w:val="both"/>
        <w:rPr>
          <w:rFonts w:ascii="Times New Roman" w:hAnsi="Times New Roman" w:cs="Times New Roman"/>
          <w:sz w:val="28"/>
          <w:szCs w:val="28"/>
        </w:rPr>
      </w:pPr>
      <w:r w:rsidRPr="00260CDD">
        <w:rPr>
          <w:rFonts w:ascii="Times New Roman" w:hAnsi="Times New Roman" w:cs="Times New Roman"/>
          <w:i/>
          <w:sz w:val="28"/>
          <w:szCs w:val="28"/>
        </w:rPr>
        <w:t xml:space="preserve"> </w:t>
      </w:r>
      <w:r w:rsidRPr="00260CDD">
        <w:rPr>
          <w:rFonts w:ascii="Times New Roman" w:hAnsi="Times New Roman" w:cs="Times New Roman"/>
          <w:sz w:val="28"/>
          <w:szCs w:val="28"/>
        </w:rPr>
        <w:t>Hồ sơ cần nộp theo Phụ lục II:</w:t>
      </w:r>
    </w:p>
    <w:p w14:paraId="78EC1109" w14:textId="73A986D3" w:rsidR="00260CDD" w:rsidRPr="00260CDD" w:rsidRDefault="003F19E6" w:rsidP="00C43F25">
      <w:pPr>
        <w:pStyle w:val="ListParagraph"/>
        <w:tabs>
          <w:tab w:val="left" w:pos="750"/>
        </w:tabs>
        <w:spacing w:before="120" w:after="120" w:line="240" w:lineRule="auto"/>
        <w:ind w:left="0" w:firstLine="851"/>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260CDD" w:rsidRPr="00260CDD">
        <w:rPr>
          <w:rFonts w:ascii="Times New Roman" w:hAnsi="Times New Roman" w:cs="Times New Roman"/>
          <w:sz w:val="28"/>
          <w:szCs w:val="28"/>
        </w:rPr>
        <w:t xml:space="preserve">Các tài liệu chi tiết </w:t>
      </w:r>
      <w:proofErr w:type="gramStart"/>
      <w:r w:rsidR="00260CDD" w:rsidRPr="00260CDD">
        <w:rPr>
          <w:rFonts w:ascii="Times New Roman" w:hAnsi="Times New Roman" w:cs="Times New Roman"/>
          <w:sz w:val="28"/>
          <w:szCs w:val="28"/>
        </w:rPr>
        <w:t>theo</w:t>
      </w:r>
      <w:proofErr w:type="gramEnd"/>
      <w:r w:rsidR="00260CDD" w:rsidRPr="00260CDD">
        <w:rPr>
          <w:rFonts w:ascii="Times New Roman" w:hAnsi="Times New Roman" w:cs="Times New Roman"/>
          <w:sz w:val="28"/>
          <w:szCs w:val="28"/>
        </w:rPr>
        <w:t xml:space="preserve"> từng nội dung thay đổi quy định tại Phụ lục II Thông tư này.</w:t>
      </w:r>
    </w:p>
    <w:p w14:paraId="1356868D" w14:textId="07BA8F1B" w:rsidR="00260CDD" w:rsidRPr="00260CDD" w:rsidRDefault="003F19E6" w:rsidP="00C43F25">
      <w:pPr>
        <w:pStyle w:val="ListParagraph"/>
        <w:tabs>
          <w:tab w:val="left" w:pos="750"/>
        </w:tabs>
        <w:spacing w:before="120" w:after="120" w:line="240" w:lineRule="auto"/>
        <w:ind w:left="0" w:firstLine="851"/>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260CDD" w:rsidRPr="00260CDD">
        <w:rPr>
          <w:rFonts w:ascii="Times New Roman" w:hAnsi="Times New Roman" w:cs="Times New Roman"/>
          <w:sz w:val="28"/>
          <w:szCs w:val="28"/>
        </w:rPr>
        <w:t xml:space="preserve">Cam kết hoặc giải trình của nhà sản xuất cho thấy việc thay đổi địa điểm sản xuất hoặc chuyển giao công nghệ không làm thay đổi dữ liệu dữ liệu chất lượng, tiền lâm sàng, lâm sàng. </w:t>
      </w:r>
    </w:p>
    <w:p w14:paraId="7974817F" w14:textId="6A860CD6" w:rsidR="00260CDD" w:rsidRPr="00260CDD" w:rsidRDefault="003F19E6" w:rsidP="00C43F25">
      <w:pPr>
        <w:pStyle w:val="ListParagraph"/>
        <w:tabs>
          <w:tab w:val="left" w:pos="750"/>
        </w:tabs>
        <w:spacing w:before="120" w:after="120" w:line="240" w:lineRule="auto"/>
        <w:ind w:left="0" w:firstLine="851"/>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260CDD" w:rsidRPr="00260CDD">
        <w:rPr>
          <w:rFonts w:ascii="Times New Roman" w:hAnsi="Times New Roman" w:cs="Times New Roman"/>
          <w:sz w:val="28"/>
          <w:szCs w:val="28"/>
        </w:rPr>
        <w:t xml:space="preserve">Nếu làm thay đổi tiền lâm sàng, lâm sàng thì cần cung cấp lại tài liệu tiền lâm sàng, lâm sàng cho thông tin thay đổi hoặc tài liệu </w:t>
      </w:r>
      <w:proofErr w:type="gramStart"/>
      <w:r w:rsidR="00260CDD" w:rsidRPr="00260CDD">
        <w:rPr>
          <w:rFonts w:ascii="Times New Roman" w:hAnsi="Times New Roman" w:cs="Times New Roman"/>
          <w:sz w:val="28"/>
          <w:szCs w:val="28"/>
        </w:rPr>
        <w:t>an</w:t>
      </w:r>
      <w:proofErr w:type="gramEnd"/>
      <w:r w:rsidR="00260CDD" w:rsidRPr="00260CDD">
        <w:rPr>
          <w:rFonts w:ascii="Times New Roman" w:hAnsi="Times New Roman" w:cs="Times New Roman"/>
          <w:sz w:val="28"/>
          <w:szCs w:val="28"/>
        </w:rPr>
        <w:t xml:space="preserve"> toàn, hiệu quả và giải trình phù hợp. </w:t>
      </w:r>
    </w:p>
    <w:p w14:paraId="0598E0C6" w14:textId="36772E03" w:rsidR="00260CDD" w:rsidRPr="00260CDD" w:rsidRDefault="003F19E6" w:rsidP="00C43F25">
      <w:pPr>
        <w:pStyle w:val="ListParagraph"/>
        <w:tabs>
          <w:tab w:val="left" w:pos="750"/>
        </w:tabs>
        <w:spacing w:before="120" w:after="120" w:line="240" w:lineRule="auto"/>
        <w:ind w:left="0" w:firstLine="851"/>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260CDD" w:rsidRPr="00260CDD">
        <w:rPr>
          <w:rFonts w:ascii="Times New Roman" w:hAnsi="Times New Roman" w:cs="Times New Roman"/>
          <w:sz w:val="28"/>
          <w:szCs w:val="28"/>
        </w:rPr>
        <w:t>Nếu làm thay đổi dữ liệu chất lượng phải có tài liệu chứng minh tương đồng về chất lượng giữa sinh phẩm sản xuất tại địa điểm mới so với sinh phẩm tham chiếu đã được công nhận.</w:t>
      </w:r>
    </w:p>
    <w:p w14:paraId="24595D98" w14:textId="22B27B76" w:rsidR="00260CDD" w:rsidRPr="00C43F25" w:rsidRDefault="00C43F25" w:rsidP="00C43F25">
      <w:pPr>
        <w:tabs>
          <w:tab w:val="left" w:pos="750"/>
        </w:tabs>
        <w:spacing w:before="120" w:after="120"/>
        <w:ind w:firstLine="851"/>
        <w:jc w:val="both"/>
        <w:rPr>
          <w:rFonts w:ascii="Times New Roman" w:hAnsi="Times New Roman" w:cs="Times New Roman"/>
          <w:sz w:val="28"/>
          <w:szCs w:val="28"/>
        </w:rPr>
      </w:pPr>
      <w:r w:rsidRPr="00C43F25">
        <w:rPr>
          <w:rFonts w:ascii="Times New Roman" w:hAnsi="Times New Roman" w:cs="Times New Roman"/>
          <w:sz w:val="28"/>
          <w:szCs w:val="28"/>
          <w:lang w:val="en-US"/>
        </w:rPr>
        <w:t>-</w:t>
      </w:r>
      <w:r w:rsidR="00260CDD" w:rsidRPr="00C43F25">
        <w:rPr>
          <w:rFonts w:ascii="Times New Roman" w:hAnsi="Times New Roman" w:cs="Times New Roman"/>
          <w:sz w:val="28"/>
          <w:szCs w:val="28"/>
        </w:rPr>
        <w:t xml:space="preserve"> Sinh phẩm tham chiếu thay đổi địa điểm sản xuất dẫn đến cấp giấy đăng ký lưu hành mới hoặc chuyển giao công nghệ sản xuất tại Việ</w:t>
      </w:r>
      <w:r>
        <w:rPr>
          <w:rFonts w:ascii="Times New Roman" w:hAnsi="Times New Roman" w:cs="Times New Roman"/>
          <w:sz w:val="28"/>
          <w:szCs w:val="28"/>
        </w:rPr>
        <w:t xml:space="preserve">t Nam: </w:t>
      </w:r>
      <w:r w:rsidR="00260CDD" w:rsidRPr="00260CDD">
        <w:rPr>
          <w:rFonts w:ascii="Times New Roman" w:hAnsi="Times New Roman" w:cs="Times New Roman"/>
          <w:sz w:val="28"/>
          <w:szCs w:val="28"/>
        </w:rPr>
        <w:t>Nếu không làm thay đổi dữ liệu chất lượng, tiền lâm sàng, lâm sàng và sinh phẩm vẫn được cấp phép lưu hành ở nước tham chiếu hoặc nước SRA thì tiếp tục được công nhận là sinh phẩm tham chiếu</w:t>
      </w:r>
      <w:r w:rsidR="00260CDD" w:rsidRPr="00260CDD">
        <w:rPr>
          <w:rFonts w:ascii="Times New Roman" w:hAnsi="Times New Roman" w:cs="Times New Roman"/>
          <w:i/>
          <w:sz w:val="28"/>
          <w:szCs w:val="28"/>
        </w:rPr>
        <w:t xml:space="preserve">. </w:t>
      </w:r>
      <w:r w:rsidR="00260CDD" w:rsidRPr="00260CDD">
        <w:rPr>
          <w:rFonts w:ascii="Times New Roman" w:hAnsi="Times New Roman" w:cs="Times New Roman"/>
          <w:sz w:val="28"/>
          <w:szCs w:val="28"/>
        </w:rPr>
        <w:t>Cơ sở thực hiện cập nhật phân loại sinh phẩm theo chiếu theo quy định tại Phụ lục II Thông tư này.</w:t>
      </w:r>
    </w:p>
    <w:p w14:paraId="136865B7" w14:textId="3F9B6EE6" w:rsidR="00260CDD" w:rsidRPr="00260CDD" w:rsidRDefault="00260CDD" w:rsidP="00C43F25">
      <w:pPr>
        <w:tabs>
          <w:tab w:val="left" w:pos="750"/>
        </w:tabs>
        <w:spacing w:before="120" w:after="120"/>
        <w:ind w:firstLine="851"/>
        <w:jc w:val="both"/>
        <w:rPr>
          <w:rFonts w:ascii="Times New Roman" w:hAnsi="Times New Roman" w:cs="Times New Roman"/>
          <w:sz w:val="28"/>
          <w:szCs w:val="28"/>
        </w:rPr>
      </w:pPr>
      <w:r w:rsidRPr="00260CDD">
        <w:rPr>
          <w:rFonts w:ascii="Times New Roman" w:hAnsi="Times New Roman" w:cs="Times New Roman"/>
          <w:i/>
          <w:sz w:val="28"/>
          <w:szCs w:val="28"/>
        </w:rPr>
        <w:t xml:space="preserve"> </w:t>
      </w:r>
      <w:r w:rsidRPr="00260CDD">
        <w:rPr>
          <w:rFonts w:ascii="Times New Roman" w:hAnsi="Times New Roman" w:cs="Times New Roman"/>
          <w:sz w:val="28"/>
          <w:szCs w:val="28"/>
        </w:rPr>
        <w:t>Hồ sơ cần nộp theo Phụ lục II:</w:t>
      </w:r>
    </w:p>
    <w:p w14:paraId="60E83C76" w14:textId="77777777" w:rsidR="00C43F25" w:rsidRDefault="00C43F25" w:rsidP="00C43F25">
      <w:pPr>
        <w:tabs>
          <w:tab w:val="left" w:pos="750"/>
        </w:tabs>
        <w:spacing w:before="120" w:after="120"/>
        <w:ind w:firstLine="851"/>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 </w:t>
      </w:r>
      <w:r w:rsidR="00260CDD" w:rsidRPr="00C43F25">
        <w:rPr>
          <w:rFonts w:ascii="Times New Roman" w:hAnsi="Times New Roman" w:cs="Times New Roman"/>
          <w:sz w:val="28"/>
          <w:szCs w:val="28"/>
        </w:rPr>
        <w:t>CPP được cấp phép lưu hành bởi một trong các cơ quan quản lý quy định tại khoản 9 hoặc khoản 10 Điều 2 Thông tư này, trừ trường hợp sản xuất tại Việt Nam.</w:t>
      </w:r>
    </w:p>
    <w:p w14:paraId="3594C554" w14:textId="77777777" w:rsidR="00C43F25" w:rsidRDefault="00C43F25" w:rsidP="00C43F25">
      <w:pPr>
        <w:tabs>
          <w:tab w:val="left" w:pos="750"/>
        </w:tabs>
        <w:spacing w:before="120" w:after="120"/>
        <w:ind w:firstLine="851"/>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260CDD" w:rsidRPr="00C43F25">
        <w:rPr>
          <w:rFonts w:ascii="Times New Roman" w:hAnsi="Times New Roman" w:cs="Times New Roman"/>
          <w:sz w:val="28"/>
          <w:szCs w:val="28"/>
        </w:rPr>
        <w:t xml:space="preserve">Cam kết hoặc giải trình của nhà sản xuất cho thấy việc thay đổi địa điểm sản xuất hoặc chuyển giao công nghệ không làm thay đổi dữ liệu dữ liệu chất lượng, tiền lâm sàng, lâm sàng. </w:t>
      </w:r>
    </w:p>
    <w:p w14:paraId="200CD32B" w14:textId="77777777" w:rsidR="00C43F25" w:rsidRDefault="00C43F25" w:rsidP="00C43F25">
      <w:pPr>
        <w:tabs>
          <w:tab w:val="left" w:pos="750"/>
        </w:tabs>
        <w:spacing w:before="120" w:after="120"/>
        <w:ind w:firstLine="851"/>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260CDD" w:rsidRPr="00C43F25">
        <w:rPr>
          <w:rFonts w:ascii="Times New Roman" w:hAnsi="Times New Roman" w:cs="Times New Roman"/>
          <w:sz w:val="28"/>
          <w:szCs w:val="28"/>
        </w:rPr>
        <w:t xml:space="preserve">Nếu làm thay đổi tiền lâm sàng, lâm sàng thì cần cung cấp lại tài liệu tiền lâm sàng, lâm sàng cho thông tin thay đổi hoặc tài liệu </w:t>
      </w:r>
      <w:proofErr w:type="gramStart"/>
      <w:r w:rsidR="00260CDD" w:rsidRPr="00C43F25">
        <w:rPr>
          <w:rFonts w:ascii="Times New Roman" w:hAnsi="Times New Roman" w:cs="Times New Roman"/>
          <w:sz w:val="28"/>
          <w:szCs w:val="28"/>
        </w:rPr>
        <w:t>an</w:t>
      </w:r>
      <w:proofErr w:type="gramEnd"/>
      <w:r w:rsidR="00260CDD" w:rsidRPr="00C43F25">
        <w:rPr>
          <w:rFonts w:ascii="Times New Roman" w:hAnsi="Times New Roman" w:cs="Times New Roman"/>
          <w:sz w:val="28"/>
          <w:szCs w:val="28"/>
        </w:rPr>
        <w:t xml:space="preserve"> toàn, hiệu quả và giải trình phù hợp. </w:t>
      </w:r>
    </w:p>
    <w:p w14:paraId="11BD1CAE" w14:textId="7E87B6FD" w:rsidR="00260CDD" w:rsidRPr="00C43F25" w:rsidRDefault="00C43F25" w:rsidP="00C43F25">
      <w:pPr>
        <w:tabs>
          <w:tab w:val="left" w:pos="750"/>
        </w:tabs>
        <w:spacing w:before="120" w:after="120"/>
        <w:ind w:firstLine="851"/>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260CDD" w:rsidRPr="00C43F25">
        <w:rPr>
          <w:rFonts w:ascii="Times New Roman" w:hAnsi="Times New Roman" w:cs="Times New Roman"/>
          <w:sz w:val="28"/>
          <w:szCs w:val="28"/>
        </w:rPr>
        <w:t>Nếu làm thay đổi dữ liệu chất lượng phải có tài liệu chứng minh tương đồng về chất lượng giữa sinh phẩm sản xuất tại địa điểm mới so với sinh phẩm tham chiếu đã được công nhận.</w:t>
      </w:r>
    </w:p>
    <w:p w14:paraId="5A2B0970" w14:textId="7A4D140D" w:rsidR="001F08E8" w:rsidRPr="00644990" w:rsidRDefault="001F08E8" w:rsidP="00E93CFB">
      <w:pPr>
        <w:pStyle w:val="ListParagraph"/>
        <w:numPr>
          <w:ilvl w:val="0"/>
          <w:numId w:val="1"/>
        </w:numPr>
        <w:tabs>
          <w:tab w:val="left" w:pos="990"/>
        </w:tabs>
        <w:spacing w:before="120" w:after="120"/>
        <w:ind w:left="0" w:firstLine="720"/>
        <w:rPr>
          <w:rFonts w:ascii="Times New Roman" w:hAnsi="Times New Roman" w:cs="Times New Roman"/>
          <w:bCs/>
          <w:sz w:val="28"/>
          <w:szCs w:val="28"/>
          <w:lang w:val="pt-BR"/>
        </w:rPr>
      </w:pPr>
      <w:r w:rsidRPr="00644990">
        <w:rPr>
          <w:rFonts w:ascii="Times New Roman" w:hAnsi="Times New Roman" w:cs="Times New Roman"/>
          <w:bCs/>
          <w:sz w:val="28"/>
          <w:szCs w:val="28"/>
          <w:lang w:val="pt-BR"/>
        </w:rPr>
        <w:t xml:space="preserve">Sửa đổi, bổ sung quy định về xác thực giấy tờ pháp lý tại khoản 1 Điều 12, </w:t>
      </w:r>
      <w:r w:rsidR="00DB7BDE" w:rsidRPr="00644990">
        <w:rPr>
          <w:rFonts w:ascii="Times New Roman" w:hAnsi="Times New Roman" w:cs="Times New Roman"/>
          <w:bCs/>
          <w:sz w:val="28"/>
          <w:szCs w:val="28"/>
          <w:lang w:val="pt-BR"/>
        </w:rPr>
        <w:t xml:space="preserve">điểm c </w:t>
      </w:r>
      <w:r w:rsidR="00A02025" w:rsidRPr="00644990">
        <w:rPr>
          <w:rFonts w:ascii="Times New Roman" w:hAnsi="Times New Roman" w:cs="Times New Roman"/>
          <w:bCs/>
          <w:sz w:val="28"/>
          <w:szCs w:val="28"/>
          <w:lang w:val="pt-BR"/>
        </w:rPr>
        <w:t>Khoản 3 Điều 23, Khoản 6 Điều 48.</w:t>
      </w:r>
    </w:p>
    <w:p w14:paraId="40160499" w14:textId="51D2367D" w:rsidR="009D7811" w:rsidRPr="00644990" w:rsidRDefault="00C0624D" w:rsidP="00E93CFB">
      <w:pPr>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a)</w:t>
      </w:r>
      <w:r w:rsidR="009D7811" w:rsidRPr="00644990">
        <w:rPr>
          <w:rFonts w:ascii="Times New Roman" w:hAnsi="Times New Roman" w:cs="Times New Roman"/>
          <w:bCs/>
          <w:color w:val="auto"/>
          <w:sz w:val="28"/>
          <w:szCs w:val="28"/>
          <w:lang w:val="pt-BR"/>
        </w:rPr>
        <w:t xml:space="preserve"> Sửa đổi, bổ sung khoản 1 Điều 12 như sau:</w:t>
      </w:r>
    </w:p>
    <w:p w14:paraId="27BB458A" w14:textId="05CEF8FE" w:rsidR="001F08E8" w:rsidRPr="00644990" w:rsidRDefault="001F08E8" w:rsidP="00E93CFB">
      <w:pPr>
        <w:spacing w:before="120" w:after="120"/>
        <w:ind w:firstLine="720"/>
        <w:jc w:val="both"/>
        <w:rPr>
          <w:rFonts w:ascii="Times New Roman" w:hAnsi="Times New Roman" w:cs="Times New Roman"/>
          <w:bCs/>
          <w:color w:val="auto"/>
          <w:sz w:val="28"/>
          <w:szCs w:val="28"/>
        </w:rPr>
      </w:pPr>
      <w:r w:rsidRPr="00644990">
        <w:rPr>
          <w:rFonts w:ascii="Times New Roman" w:hAnsi="Times New Roman" w:cs="Times New Roman"/>
          <w:bCs/>
          <w:color w:val="auto"/>
          <w:sz w:val="28"/>
          <w:szCs w:val="28"/>
          <w:lang w:val="pt-BR"/>
        </w:rPr>
        <w:t>“</w:t>
      </w:r>
      <w:r w:rsidR="009D7811" w:rsidRPr="00644990">
        <w:rPr>
          <w:rFonts w:ascii="Times New Roman" w:hAnsi="Times New Roman" w:cs="Times New Roman"/>
          <w:bCs/>
          <w:color w:val="auto"/>
          <w:sz w:val="28"/>
          <w:szCs w:val="28"/>
          <w:lang w:val="pt-BR"/>
        </w:rPr>
        <w:t xml:space="preserve"> </w:t>
      </w:r>
      <w:r w:rsidRPr="00644990">
        <w:rPr>
          <w:rFonts w:ascii="Times New Roman" w:hAnsi="Times New Roman" w:cs="Times New Roman"/>
          <w:bCs/>
          <w:color w:val="auto"/>
          <w:sz w:val="28"/>
          <w:szCs w:val="28"/>
        </w:rPr>
        <w:t xml:space="preserve">1. Cục Quản lý Dược phối hợp với các cơ quan ngoại giao và cơ quan có liên quan trong nước, nước ngoài hoặc thông qua tra cứu thông tin tại trang thông tin điện tử hoặc trên hệ thống cơ sở dữ liệu tiếng Anh chính thức do cơ quan có thẩm quyền các nước cung cấp để thực hiện việc kiểm tra tính xác thực của các </w:t>
      </w:r>
      <w:r w:rsidR="00BE58D7" w:rsidRPr="00644990">
        <w:rPr>
          <w:rFonts w:ascii="Times New Roman" w:hAnsi="Times New Roman" w:cs="Times New Roman"/>
          <w:bCs/>
          <w:color w:val="auto"/>
          <w:sz w:val="28"/>
          <w:szCs w:val="28"/>
          <w:lang w:val="en-US"/>
        </w:rPr>
        <w:t>giấy tờ</w:t>
      </w:r>
      <w:r w:rsidR="006E02D9" w:rsidRPr="00644990">
        <w:rPr>
          <w:rFonts w:ascii="Times New Roman" w:hAnsi="Times New Roman" w:cs="Times New Roman"/>
          <w:bCs/>
          <w:color w:val="auto"/>
          <w:sz w:val="28"/>
          <w:szCs w:val="28"/>
          <w:lang w:val="en-US"/>
        </w:rPr>
        <w:t xml:space="preserve"> sau</w:t>
      </w:r>
      <w:r w:rsidRPr="00644990">
        <w:rPr>
          <w:rFonts w:ascii="Times New Roman" w:hAnsi="Times New Roman" w:cs="Times New Roman"/>
          <w:bCs/>
          <w:color w:val="auto"/>
          <w:sz w:val="28"/>
          <w:szCs w:val="28"/>
        </w:rPr>
        <w:t xml:space="preserve"> trong hồ sơ đăng ký thuốc: </w:t>
      </w:r>
    </w:p>
    <w:p w14:paraId="56677E72" w14:textId="77777777" w:rsidR="009D7811" w:rsidRPr="00644990" w:rsidRDefault="009D7811" w:rsidP="00E93CFB">
      <w:pPr>
        <w:spacing w:before="120" w:after="120"/>
        <w:ind w:firstLine="720"/>
        <w:jc w:val="both"/>
        <w:rPr>
          <w:rFonts w:ascii="Times New Roman" w:hAnsi="Times New Roman" w:cs="Times New Roman"/>
          <w:bCs/>
          <w:color w:val="auto"/>
          <w:sz w:val="28"/>
          <w:szCs w:val="28"/>
        </w:rPr>
      </w:pPr>
      <w:r w:rsidRPr="00644990">
        <w:rPr>
          <w:rFonts w:ascii="Times New Roman" w:hAnsi="Times New Roman" w:cs="Times New Roman"/>
          <w:bCs/>
          <w:color w:val="auto"/>
          <w:sz w:val="28"/>
          <w:szCs w:val="28"/>
        </w:rPr>
        <w:t>a)</w:t>
      </w:r>
      <w:r w:rsidRPr="00644990">
        <w:rPr>
          <w:rFonts w:ascii="Times New Roman" w:hAnsi="Times New Roman" w:cs="Times New Roman"/>
          <w:bCs/>
          <w:color w:val="auto"/>
          <w:sz w:val="28"/>
          <w:szCs w:val="28"/>
          <w:lang w:val="pt-BR"/>
        </w:rPr>
        <w:t xml:space="preserve"> CPP</w:t>
      </w:r>
      <w:r w:rsidRPr="00644990">
        <w:rPr>
          <w:rFonts w:ascii="Times New Roman" w:hAnsi="Times New Roman" w:cs="Times New Roman"/>
          <w:bCs/>
          <w:color w:val="auto"/>
          <w:sz w:val="28"/>
          <w:szCs w:val="28"/>
        </w:rPr>
        <w:t xml:space="preserve"> của </w:t>
      </w:r>
      <w:r w:rsidRPr="00644990">
        <w:rPr>
          <w:rFonts w:ascii="Times New Roman" w:hAnsi="Times New Roman" w:cs="Times New Roman"/>
          <w:bCs/>
          <w:color w:val="auto"/>
          <w:sz w:val="28"/>
          <w:szCs w:val="28"/>
          <w:lang w:val="pt-BR"/>
        </w:rPr>
        <w:t>tất cả các hồ sơ đề nghị cấp, gia hạn, thay đổi, bổ sung giấy đăng ký lưu hành thuốc</w:t>
      </w:r>
      <w:r w:rsidRPr="00644990">
        <w:rPr>
          <w:rFonts w:ascii="Times New Roman" w:hAnsi="Times New Roman" w:cs="Times New Roman"/>
          <w:bCs/>
          <w:color w:val="auto"/>
          <w:sz w:val="28"/>
          <w:szCs w:val="28"/>
        </w:rPr>
        <w:t>;</w:t>
      </w:r>
    </w:p>
    <w:p w14:paraId="5B6AC7E9" w14:textId="10F05096" w:rsidR="009D7811" w:rsidRPr="00644990" w:rsidRDefault="009D7811" w:rsidP="00BE58D7">
      <w:pPr>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rPr>
        <w:t>b) G</w:t>
      </w:r>
      <w:r w:rsidRPr="00644990">
        <w:rPr>
          <w:rFonts w:ascii="Times New Roman" w:hAnsi="Times New Roman" w:cs="Times New Roman"/>
          <w:bCs/>
          <w:color w:val="auto"/>
          <w:sz w:val="28"/>
          <w:szCs w:val="28"/>
          <w:lang w:val="pt-BR"/>
        </w:rPr>
        <w:t>iấy tờ pháp lý do cơ quan quản lý nhà nước có thẩm quyền nước ngoài cấp</w:t>
      </w:r>
      <w:r w:rsidR="00B21C58" w:rsidRPr="00644990">
        <w:rPr>
          <w:rFonts w:ascii="Times New Roman" w:hAnsi="Times New Roman" w:cs="Times New Roman"/>
          <w:bCs/>
          <w:color w:val="auto"/>
          <w:sz w:val="28"/>
          <w:szCs w:val="28"/>
          <w:lang w:val="pt-BR"/>
        </w:rPr>
        <w:t xml:space="preserve"> </w:t>
      </w:r>
      <w:r w:rsidRPr="00644990">
        <w:rPr>
          <w:rFonts w:ascii="Times New Roman" w:hAnsi="Times New Roman" w:cs="Times New Roman"/>
          <w:bCs/>
          <w:color w:val="auto"/>
          <w:sz w:val="28"/>
          <w:szCs w:val="28"/>
          <w:lang w:val="pt-BR"/>
        </w:rPr>
        <w:t>đối với cơ sở đăng ký nước ngoài lần đầu đăng ký thuốc tại Việt Nam.”</w:t>
      </w:r>
    </w:p>
    <w:p w14:paraId="2A841016" w14:textId="50B8CDB1" w:rsidR="001F08E8" w:rsidRPr="00644990" w:rsidRDefault="00C0624D" w:rsidP="001360AE">
      <w:pPr>
        <w:spacing w:before="120" w:after="120"/>
        <w:ind w:firstLine="709"/>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en-US"/>
        </w:rPr>
        <w:t>b)</w:t>
      </w:r>
      <w:r w:rsidR="009D7811" w:rsidRPr="00644990">
        <w:rPr>
          <w:rFonts w:ascii="Times New Roman" w:hAnsi="Times New Roman" w:cs="Times New Roman"/>
          <w:bCs/>
          <w:color w:val="auto"/>
          <w:sz w:val="28"/>
          <w:szCs w:val="28"/>
          <w:lang w:val="en-US"/>
        </w:rPr>
        <w:t xml:space="preserve"> </w:t>
      </w:r>
      <w:r w:rsidR="00A02025" w:rsidRPr="00644990">
        <w:rPr>
          <w:rFonts w:ascii="Times New Roman" w:hAnsi="Times New Roman" w:cs="Times New Roman"/>
          <w:bCs/>
          <w:color w:val="auto"/>
          <w:sz w:val="28"/>
          <w:szCs w:val="28"/>
          <w:lang w:val="pt-BR"/>
        </w:rPr>
        <w:t xml:space="preserve">Sửa đổi, bổ sung </w:t>
      </w:r>
      <w:r w:rsidR="00DB7BDE" w:rsidRPr="00644990">
        <w:rPr>
          <w:rFonts w:ascii="Times New Roman" w:hAnsi="Times New Roman" w:cs="Times New Roman"/>
          <w:bCs/>
          <w:color w:val="auto"/>
          <w:sz w:val="28"/>
          <w:szCs w:val="28"/>
          <w:lang w:val="pt-BR"/>
        </w:rPr>
        <w:t xml:space="preserve">điểm c </w:t>
      </w:r>
      <w:r w:rsidR="00A02025" w:rsidRPr="00644990">
        <w:rPr>
          <w:rFonts w:ascii="Times New Roman" w:hAnsi="Times New Roman" w:cs="Times New Roman"/>
          <w:bCs/>
          <w:color w:val="auto"/>
          <w:sz w:val="28"/>
          <w:szCs w:val="28"/>
          <w:lang w:val="pt-BR"/>
        </w:rPr>
        <w:t>Khoản 3 Điều 23 như sau</w:t>
      </w:r>
      <w:r w:rsidR="00DB7BDE" w:rsidRPr="00644990">
        <w:rPr>
          <w:rFonts w:ascii="Times New Roman" w:hAnsi="Times New Roman" w:cs="Times New Roman"/>
          <w:bCs/>
          <w:color w:val="auto"/>
          <w:sz w:val="28"/>
          <w:szCs w:val="28"/>
          <w:lang w:val="pt-BR"/>
        </w:rPr>
        <w:t>:</w:t>
      </w:r>
    </w:p>
    <w:p w14:paraId="2769D8B0" w14:textId="77777777" w:rsidR="00DB7BDE" w:rsidRPr="00644990" w:rsidRDefault="00DB7BDE" w:rsidP="00E93CFB">
      <w:pPr>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“c) Trường hợp giấy tờ pháp lý được cấp là bản điện tử, bao gồm cả trường hợp không có đủ chữ ký, tên người ký và dấu xác nhận của cơ quan quản lý nhà nước có thẩm quyền của nước cấp giấy tờ pháp lý, cơ sở đăng ký phải nộp một trong các giấy tờ sau đây:</w:t>
      </w:r>
    </w:p>
    <w:p w14:paraId="22AA905C" w14:textId="77777777" w:rsidR="00DB7BDE" w:rsidRPr="00644990" w:rsidRDefault="00DB7BDE" w:rsidP="00E93CFB">
      <w:pPr>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 Giấy tờ pháp lý được hợp pháp hóa lãnh sự theo quy định (bản chính hoặc bản sao chứng thực);</w:t>
      </w:r>
    </w:p>
    <w:p w14:paraId="0470EAA6" w14:textId="19985261" w:rsidR="00D72D3B" w:rsidRPr="00644990" w:rsidRDefault="00D72D3B" w:rsidP="00E93CFB">
      <w:pPr>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 Cơ sở đăng ký gửi kết quả tự tra cứu giấy tờ pháp lý từ trang thông tin điện tử hoặc cơ sở dữ liệu tiếng Anh của cơ quan cấp giấy tờ pháp lý hoặc cơ quan có thẩm quyền các nước có đóng dấu xác nhận của cơ sở kèm theo văn bản cung cấp thông tin về đường dẫn tra cứu đến Cục Quản lý Dược. Cơ sở đăng ký phải chịu trách nhiệm trước pháp luật về tính hợp pháp, tính chính xác của các giấy tờ, thông tin này và kết quả tự tra cứu của cơ sở.</w:t>
      </w:r>
    </w:p>
    <w:p w14:paraId="0A0FDDC8" w14:textId="44CB0ED6" w:rsidR="00A77EC2" w:rsidRPr="00644990" w:rsidRDefault="00A77EC2" w:rsidP="00BF1668">
      <w:pPr>
        <w:pStyle w:val="ListParagraph"/>
        <w:numPr>
          <w:ilvl w:val="0"/>
          <w:numId w:val="1"/>
        </w:numPr>
        <w:tabs>
          <w:tab w:val="left" w:pos="990"/>
        </w:tabs>
        <w:spacing w:before="120" w:after="120"/>
        <w:ind w:left="0" w:firstLine="720"/>
        <w:rPr>
          <w:rFonts w:ascii="Times New Roman" w:hAnsi="Times New Roman" w:cs="Times New Roman"/>
          <w:bCs/>
          <w:spacing w:val="-6"/>
          <w:sz w:val="28"/>
          <w:szCs w:val="28"/>
          <w:lang w:val="pt-BR"/>
        </w:rPr>
      </w:pPr>
      <w:r w:rsidRPr="00644990">
        <w:rPr>
          <w:rFonts w:ascii="Times New Roman" w:hAnsi="Times New Roman" w:cs="Times New Roman"/>
          <w:bCs/>
          <w:spacing w:val="-6"/>
          <w:sz w:val="28"/>
          <w:szCs w:val="28"/>
          <w:lang w:val="pt-BR"/>
        </w:rPr>
        <w:t xml:space="preserve">Sửa đổi, bổ sung Điều 16 như sau: </w:t>
      </w:r>
    </w:p>
    <w:p w14:paraId="1DBC0372" w14:textId="3EAEFCEE" w:rsidR="00A77EC2" w:rsidRPr="00644990" w:rsidRDefault="007D42F2" w:rsidP="00E93CFB">
      <w:pPr>
        <w:spacing w:before="120" w:after="120"/>
        <w:ind w:firstLine="720"/>
        <w:jc w:val="both"/>
        <w:rPr>
          <w:rFonts w:ascii="Times New Roman" w:hAnsi="Times New Roman" w:cs="Times New Roman"/>
          <w:bCs/>
          <w:color w:val="auto"/>
          <w:sz w:val="28"/>
          <w:szCs w:val="28"/>
        </w:rPr>
      </w:pPr>
      <w:r w:rsidRPr="00644990">
        <w:rPr>
          <w:rFonts w:ascii="Times New Roman" w:hAnsi="Times New Roman" w:cs="Times New Roman"/>
          <w:bCs/>
          <w:color w:val="auto"/>
          <w:sz w:val="28"/>
          <w:szCs w:val="28"/>
          <w:lang w:val="pt-BR"/>
        </w:rPr>
        <w:t>“</w:t>
      </w:r>
      <w:r w:rsidR="00A77EC2" w:rsidRPr="00644990">
        <w:rPr>
          <w:rFonts w:ascii="Times New Roman" w:hAnsi="Times New Roman" w:cs="Times New Roman"/>
          <w:bCs/>
          <w:color w:val="auto"/>
          <w:sz w:val="28"/>
          <w:szCs w:val="28"/>
          <w:lang w:val="pt-BR"/>
        </w:rPr>
        <w:t xml:space="preserve">Điều 16. Yêu cầu về dữ liệu lâm sàng trong hồ sơ đăng ký lưu hành đối </w:t>
      </w:r>
      <w:r w:rsidR="00A77EC2" w:rsidRPr="00644990">
        <w:rPr>
          <w:rFonts w:ascii="Times New Roman" w:hAnsi="Times New Roman" w:cs="Times New Roman"/>
          <w:bCs/>
          <w:color w:val="auto"/>
          <w:sz w:val="28"/>
          <w:szCs w:val="28"/>
          <w:lang w:val="pt-BR"/>
        </w:rPr>
        <w:lastRenderedPageBreak/>
        <w:t xml:space="preserve">với </w:t>
      </w:r>
      <w:r w:rsidR="00A77EC2" w:rsidRPr="00644990">
        <w:rPr>
          <w:rFonts w:ascii="Times New Roman" w:hAnsi="Times New Roman" w:cs="Times New Roman"/>
          <w:bCs/>
          <w:color w:val="auto"/>
          <w:sz w:val="28"/>
          <w:szCs w:val="28"/>
        </w:rPr>
        <w:t xml:space="preserve">thuốc hóa dược có hàm lượng, nồng độ, đường dùng, cách dùng, liều dùng, chỉ định, đối tượng bệnh nhân khác so với biệt dược gốc đã được cấp phép lưu hành tại Việt Nam hoặc </w:t>
      </w:r>
      <w:r w:rsidR="00D12548">
        <w:rPr>
          <w:rFonts w:ascii="Times New Roman" w:hAnsi="Times New Roman" w:cs="Times New Roman"/>
          <w:bCs/>
          <w:color w:val="auto"/>
          <w:sz w:val="28"/>
          <w:szCs w:val="28"/>
          <w:lang w:val="en-US"/>
        </w:rPr>
        <w:t xml:space="preserve">khác </w:t>
      </w:r>
      <w:r w:rsidR="00A77EC2" w:rsidRPr="00644990">
        <w:rPr>
          <w:rFonts w:ascii="Times New Roman" w:hAnsi="Times New Roman" w:cs="Times New Roman"/>
          <w:bCs/>
          <w:color w:val="auto"/>
          <w:sz w:val="28"/>
          <w:szCs w:val="28"/>
        </w:rPr>
        <w:t>thuốc được cấp phép lưu hành tại nước SRA mà chưa được cấp phép lưu hành tại Việt Nam.</w:t>
      </w:r>
    </w:p>
    <w:p w14:paraId="50DCF252" w14:textId="77777777" w:rsidR="00A77EC2" w:rsidRPr="00644990" w:rsidRDefault="00A77EC2" w:rsidP="00E93CFB">
      <w:pPr>
        <w:spacing w:before="120" w:after="120"/>
        <w:ind w:firstLine="720"/>
        <w:jc w:val="both"/>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rPr>
        <w:t>Đối với thuốc hóa dược có hàm lượng, nồng độ, đường dùng, cách dùng, liều dùng, chỉ định, đối tượng bệnh nhân khác so với biệt dược gốc đã được cấp phép lưu hành tại Việt Nam hoặc thuốc được cấp phép lưu hành tại nước SRA mà chưa được cấp phép lưu hành tại Việt Nam hoặc có dạng bào chế mới ảnh hưởng đến sinh dược học của thuốc phải có hồ sơ lâm sàng theo quy định tại Điều 13 Thông tư này.</w:t>
      </w:r>
      <w:r w:rsidR="007D42F2" w:rsidRPr="00644990">
        <w:rPr>
          <w:rFonts w:ascii="Times New Roman" w:hAnsi="Times New Roman" w:cs="Times New Roman"/>
          <w:bCs/>
          <w:color w:val="auto"/>
          <w:sz w:val="28"/>
          <w:szCs w:val="28"/>
          <w:lang w:val="en-US"/>
        </w:rPr>
        <w:t>”</w:t>
      </w:r>
    </w:p>
    <w:p w14:paraId="47491FB0" w14:textId="2F6790D4" w:rsidR="00A77EC2" w:rsidRPr="00644990" w:rsidRDefault="007D42F2" w:rsidP="00BF1668">
      <w:pPr>
        <w:pStyle w:val="ListParagraph"/>
        <w:numPr>
          <w:ilvl w:val="0"/>
          <w:numId w:val="1"/>
        </w:numPr>
        <w:tabs>
          <w:tab w:val="left" w:pos="990"/>
        </w:tabs>
        <w:spacing w:before="120" w:after="120"/>
        <w:ind w:left="0" w:firstLine="720"/>
        <w:rPr>
          <w:rFonts w:ascii="Times New Roman" w:hAnsi="Times New Roman" w:cs="Times New Roman"/>
          <w:bCs/>
          <w:spacing w:val="-6"/>
          <w:sz w:val="28"/>
          <w:szCs w:val="28"/>
          <w:lang w:val="pt-BR"/>
        </w:rPr>
      </w:pPr>
      <w:r w:rsidRPr="00644990">
        <w:rPr>
          <w:rFonts w:ascii="Times New Roman" w:hAnsi="Times New Roman" w:cs="Times New Roman"/>
          <w:bCs/>
          <w:spacing w:val="-6"/>
          <w:sz w:val="28"/>
          <w:szCs w:val="28"/>
          <w:lang w:val="pt-BR"/>
        </w:rPr>
        <w:t>Sửa đổi</w:t>
      </w:r>
      <w:r w:rsidR="00253743" w:rsidRPr="00644990">
        <w:rPr>
          <w:rFonts w:ascii="Times New Roman" w:hAnsi="Times New Roman" w:cs="Times New Roman"/>
          <w:bCs/>
          <w:spacing w:val="-6"/>
          <w:sz w:val="28"/>
          <w:szCs w:val="28"/>
          <w:lang w:val="pt-BR"/>
        </w:rPr>
        <w:t>, bổ sung</w:t>
      </w:r>
      <w:r w:rsidRPr="00644990">
        <w:rPr>
          <w:rFonts w:ascii="Times New Roman" w:hAnsi="Times New Roman" w:cs="Times New Roman"/>
          <w:bCs/>
          <w:spacing w:val="-6"/>
          <w:sz w:val="28"/>
          <w:szCs w:val="28"/>
          <w:lang w:val="pt-BR"/>
        </w:rPr>
        <w:t xml:space="preserve"> quy định về CPP </w:t>
      </w:r>
      <w:r w:rsidR="00FD1366" w:rsidRPr="00644990">
        <w:rPr>
          <w:rFonts w:ascii="Times New Roman" w:hAnsi="Times New Roman" w:cs="Times New Roman"/>
          <w:bCs/>
          <w:spacing w:val="-6"/>
          <w:sz w:val="28"/>
          <w:szCs w:val="28"/>
          <w:lang w:val="pt-BR"/>
        </w:rPr>
        <w:t xml:space="preserve">tại khoản 3, khoản 4 Điều 23 </w:t>
      </w:r>
      <w:r w:rsidRPr="00644990">
        <w:rPr>
          <w:rFonts w:ascii="Times New Roman" w:hAnsi="Times New Roman" w:cs="Times New Roman"/>
          <w:bCs/>
          <w:spacing w:val="-6"/>
          <w:sz w:val="28"/>
          <w:szCs w:val="28"/>
          <w:lang w:val="pt-BR"/>
        </w:rPr>
        <w:t xml:space="preserve">như sau: </w:t>
      </w:r>
    </w:p>
    <w:p w14:paraId="5B516BFE" w14:textId="203397A4" w:rsidR="007D42F2" w:rsidRPr="00644990" w:rsidRDefault="00105F6C" w:rsidP="00E93CFB">
      <w:pPr>
        <w:spacing w:before="120" w:after="120"/>
        <w:ind w:firstLine="720"/>
        <w:jc w:val="both"/>
        <w:rPr>
          <w:rFonts w:ascii="Times New Roman" w:hAnsi="Times New Roman" w:cs="Times New Roman"/>
          <w:bCs/>
          <w:color w:val="auto"/>
          <w:spacing w:val="-6"/>
          <w:sz w:val="28"/>
          <w:szCs w:val="28"/>
          <w:lang w:val="pt-BR"/>
        </w:rPr>
      </w:pPr>
      <w:r w:rsidRPr="00644990">
        <w:rPr>
          <w:rFonts w:ascii="Times New Roman" w:hAnsi="Times New Roman" w:cs="Times New Roman"/>
          <w:bCs/>
          <w:color w:val="auto"/>
          <w:spacing w:val="-6"/>
          <w:sz w:val="28"/>
          <w:szCs w:val="28"/>
          <w:lang w:val="pt-BR"/>
        </w:rPr>
        <w:t>a)</w:t>
      </w:r>
      <w:r w:rsidR="007D42F2" w:rsidRPr="00644990">
        <w:rPr>
          <w:rFonts w:ascii="Times New Roman" w:hAnsi="Times New Roman" w:cs="Times New Roman"/>
          <w:bCs/>
          <w:color w:val="auto"/>
          <w:spacing w:val="-6"/>
          <w:sz w:val="28"/>
          <w:szCs w:val="28"/>
          <w:lang w:val="pt-BR"/>
        </w:rPr>
        <w:t xml:space="preserve"> </w:t>
      </w:r>
      <w:r w:rsidR="00253743" w:rsidRPr="00644990">
        <w:rPr>
          <w:rFonts w:ascii="Times New Roman" w:hAnsi="Times New Roman" w:cs="Times New Roman"/>
          <w:bCs/>
          <w:color w:val="auto"/>
          <w:spacing w:val="-6"/>
          <w:sz w:val="28"/>
          <w:szCs w:val="28"/>
          <w:lang w:val="pt-BR"/>
        </w:rPr>
        <w:t>Sửa đổi, bổ sung điểm a khoản 3 Điều 23 như sau:</w:t>
      </w:r>
    </w:p>
    <w:p w14:paraId="5DA8CCEF" w14:textId="77777777" w:rsidR="00253743" w:rsidRPr="00644990" w:rsidRDefault="00253743" w:rsidP="00E93CFB">
      <w:pPr>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pacing w:val="-6"/>
          <w:sz w:val="28"/>
          <w:szCs w:val="28"/>
          <w:lang w:val="pt-BR"/>
        </w:rPr>
        <w:t>“</w:t>
      </w:r>
      <w:r w:rsidRPr="00644990">
        <w:rPr>
          <w:rFonts w:ascii="Times New Roman" w:hAnsi="Times New Roman" w:cs="Times New Roman"/>
          <w:bCs/>
          <w:color w:val="auto"/>
          <w:sz w:val="28"/>
          <w:szCs w:val="28"/>
          <w:lang w:val="pt-BR"/>
        </w:rPr>
        <w:t xml:space="preserve">3. Giấy tờ pháp lý là bản chính hoặc bản sao có chứng thực: </w:t>
      </w:r>
    </w:p>
    <w:p w14:paraId="5CDC0698" w14:textId="01A6C524" w:rsidR="008C6BA1" w:rsidRPr="00644990" w:rsidRDefault="00253743" w:rsidP="008C6BA1">
      <w:pPr>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 xml:space="preserve">a) Bản chính phải có đầy đủ chữ ký, tên người ký và dấu xác nhận của cơ quan quản lý nhà nước có thẩm quyền của nước cấp. </w:t>
      </w:r>
      <w:r w:rsidR="008C6BA1" w:rsidRPr="00644990">
        <w:rPr>
          <w:rFonts w:ascii="Times New Roman" w:hAnsi="Times New Roman" w:cs="Times New Roman"/>
          <w:bCs/>
          <w:color w:val="auto"/>
          <w:sz w:val="28"/>
          <w:szCs w:val="28"/>
        </w:rPr>
        <w:t xml:space="preserve">Trường hợp CPP không có dấu xác nhận của cơ quan quản lý nhà nước có thẩm quyền của nước cấp, </w:t>
      </w:r>
      <w:r w:rsidR="008C6BA1" w:rsidRPr="00644990">
        <w:rPr>
          <w:rFonts w:ascii="Times New Roman" w:hAnsi="Times New Roman" w:cs="Times New Roman"/>
          <w:bCs/>
          <w:color w:val="auto"/>
          <w:sz w:val="28"/>
          <w:szCs w:val="28"/>
          <w:lang w:val="pt-BR"/>
        </w:rPr>
        <w:t>cơ sở đăng ký cung cấp tài liệu chứng minh CPP không yêu cầu dấu theo quy định ở nước sở tại.</w:t>
      </w:r>
    </w:p>
    <w:p w14:paraId="11E983F5" w14:textId="4811345E" w:rsidR="00F318AC" w:rsidRPr="00644990" w:rsidRDefault="00FF4C4A" w:rsidP="00E93CFB">
      <w:pPr>
        <w:spacing w:before="120" w:after="120"/>
        <w:ind w:firstLine="720"/>
        <w:jc w:val="both"/>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lang w:val="en-US"/>
        </w:rPr>
        <w:t>b</w:t>
      </w:r>
      <w:r w:rsidR="00105F6C" w:rsidRPr="00644990">
        <w:rPr>
          <w:rFonts w:ascii="Times New Roman" w:hAnsi="Times New Roman" w:cs="Times New Roman"/>
          <w:bCs/>
          <w:color w:val="auto"/>
          <w:sz w:val="28"/>
          <w:szCs w:val="28"/>
          <w:lang w:val="en-US"/>
        </w:rPr>
        <w:t>)</w:t>
      </w:r>
      <w:r w:rsidR="00F318AC" w:rsidRPr="00644990">
        <w:rPr>
          <w:rFonts w:ascii="Times New Roman" w:hAnsi="Times New Roman" w:cs="Times New Roman"/>
          <w:bCs/>
          <w:color w:val="auto"/>
          <w:sz w:val="28"/>
          <w:szCs w:val="28"/>
          <w:lang w:val="en-US"/>
        </w:rPr>
        <w:t xml:space="preserve"> </w:t>
      </w:r>
      <w:r w:rsidR="00C816C4" w:rsidRPr="00644990">
        <w:rPr>
          <w:rFonts w:ascii="Times New Roman" w:hAnsi="Times New Roman" w:cs="Times New Roman"/>
          <w:bCs/>
          <w:color w:val="auto"/>
          <w:spacing w:val="-6"/>
          <w:sz w:val="28"/>
          <w:szCs w:val="28"/>
          <w:lang w:val="pt-BR"/>
        </w:rPr>
        <w:t>Bãi bỏ</w:t>
      </w:r>
      <w:r w:rsidR="001360AE" w:rsidRPr="00644990">
        <w:rPr>
          <w:rFonts w:ascii="Times New Roman" w:hAnsi="Times New Roman" w:cs="Times New Roman"/>
          <w:bCs/>
          <w:color w:val="auto"/>
          <w:spacing w:val="-6"/>
          <w:sz w:val="28"/>
          <w:szCs w:val="28"/>
          <w:lang w:val="pt-BR"/>
        </w:rPr>
        <w:t xml:space="preserve"> </w:t>
      </w:r>
      <w:r w:rsidR="00F318AC" w:rsidRPr="00644990">
        <w:rPr>
          <w:rFonts w:ascii="Times New Roman" w:hAnsi="Times New Roman" w:cs="Times New Roman"/>
          <w:bCs/>
          <w:color w:val="auto"/>
          <w:sz w:val="28"/>
          <w:szCs w:val="28"/>
          <w:lang w:val="en-US"/>
        </w:rPr>
        <w:t>tiết 2 điểm d khoản 4 Điều 23</w:t>
      </w:r>
    </w:p>
    <w:p w14:paraId="5712C7C6" w14:textId="6D2F14DC" w:rsidR="00150C42" w:rsidRPr="00644990" w:rsidRDefault="00150C42" w:rsidP="00E93CFB">
      <w:pPr>
        <w:spacing w:before="120" w:after="120"/>
        <w:ind w:firstLine="720"/>
        <w:jc w:val="both"/>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lang w:val="en-US"/>
        </w:rPr>
        <w:t>Xin ý kiến thảo luận về biện pháp quản lý bổ sung với các thông tin được bãi bỏ (về tiêu chuẩn thành phẩm, tiêu chuẩn dược chất, dược liệu, tên, địa chỉ nhà sản xuất dược liệu):</w:t>
      </w:r>
    </w:p>
    <w:p w14:paraId="24097B10" w14:textId="424020A0" w:rsidR="00150C42" w:rsidRPr="00644990" w:rsidRDefault="00150C42" w:rsidP="00150C42">
      <w:pPr>
        <w:spacing w:before="120" w:after="120"/>
        <w:ind w:firstLine="720"/>
        <w:jc w:val="both"/>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lang w:val="en-US"/>
        </w:rPr>
        <w:t>PA1- Cơ quan quản lý Dược các nước công bố thông tin tiêu chuẩn thành phẩm, tiêu chuẩn dược chất, dược liệu, tên, địa chỉ nhà sản xuất dược liệu của thuốc được cấp phép lưu hành và cho Việt Nam đường link để chủ động tra cứu, thẩm định</w:t>
      </w:r>
    </w:p>
    <w:p w14:paraId="1AC2E6DD" w14:textId="77777777" w:rsidR="00150C42" w:rsidRPr="00644990" w:rsidRDefault="00150C42" w:rsidP="00150C42">
      <w:pPr>
        <w:spacing w:before="120" w:after="120"/>
        <w:ind w:firstLine="720"/>
        <w:jc w:val="both"/>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lang w:val="en-US"/>
        </w:rPr>
        <w:t>PA2- Khi DN đề nghị cấp CPP để đăng ký thuốc sẽ tự lập phụ lục về các thông tin liên quan đến công thức của thuốc, tiêu chuẩn thành phẩm, tiêu chuẩn dược chất, tên, địa chỉ cơ sở sản xuất dược chất để được cơ quan quản lý xác nhận kèm theo CPP.</w:t>
      </w:r>
    </w:p>
    <w:p w14:paraId="7CAD778A" w14:textId="421F5BCA" w:rsidR="00150C42" w:rsidRPr="00644990" w:rsidRDefault="00150C42" w:rsidP="00150C42">
      <w:pPr>
        <w:spacing w:before="120" w:after="120"/>
        <w:ind w:firstLine="720"/>
        <w:jc w:val="both"/>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lang w:val="en-US"/>
        </w:rPr>
        <w:t>PA3- Kiểm tra thực tế cơ sở sản xuất thuốc về các thông tin này trước khi cấp phép lưu hành thuốc.</w:t>
      </w:r>
    </w:p>
    <w:p w14:paraId="106E1854" w14:textId="5D860972" w:rsidR="00435BA0" w:rsidRPr="00644990" w:rsidRDefault="004E754A" w:rsidP="00BF1668">
      <w:pPr>
        <w:pStyle w:val="ListParagraph"/>
        <w:numPr>
          <w:ilvl w:val="0"/>
          <w:numId w:val="1"/>
        </w:numPr>
        <w:tabs>
          <w:tab w:val="left" w:pos="990"/>
        </w:tabs>
        <w:spacing w:before="120" w:after="120"/>
        <w:ind w:left="0" w:firstLine="720"/>
        <w:rPr>
          <w:rFonts w:ascii="Times New Roman" w:hAnsi="Times New Roman" w:cs="Times New Roman"/>
          <w:bCs/>
          <w:spacing w:val="-6"/>
          <w:sz w:val="28"/>
          <w:szCs w:val="28"/>
          <w:lang w:val="pt-BR"/>
        </w:rPr>
      </w:pPr>
      <w:r w:rsidRPr="00644990">
        <w:rPr>
          <w:rFonts w:ascii="Times New Roman" w:hAnsi="Times New Roman" w:cs="Times New Roman"/>
          <w:bCs/>
          <w:spacing w:val="-6"/>
          <w:sz w:val="28"/>
          <w:szCs w:val="28"/>
          <w:lang w:val="pt-BR"/>
        </w:rPr>
        <w:t xml:space="preserve">Bổ sung điểm e khoản 12 Điều 23 như sau: </w:t>
      </w:r>
    </w:p>
    <w:p w14:paraId="6AA810E6" w14:textId="77777777" w:rsidR="004E754A" w:rsidRPr="00644990" w:rsidRDefault="004E754A" w:rsidP="00E93CFB">
      <w:pPr>
        <w:tabs>
          <w:tab w:val="left" w:pos="3090"/>
        </w:tabs>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pacing w:val="-6"/>
          <w:sz w:val="28"/>
          <w:szCs w:val="28"/>
          <w:lang w:val="pt-BR"/>
        </w:rPr>
        <w:t>“</w:t>
      </w:r>
      <w:r w:rsidRPr="00644990">
        <w:rPr>
          <w:rFonts w:ascii="Times New Roman" w:hAnsi="Times New Roman" w:cs="Times New Roman"/>
          <w:bCs/>
          <w:color w:val="auto"/>
          <w:sz w:val="28"/>
          <w:szCs w:val="28"/>
          <w:lang w:val="pt-BR"/>
        </w:rPr>
        <w:t>e) Trường hợp nguyên liệu làm thuốc đã được cấp giấy đăng ký lưu hành tại Việt Nam hoặc nguyên liệu làm thuốc là dược chất, dược liệu đã đăng ký trong hồ sơ đăng ký thuốc thành phẩm khác nộp theo quy định tại Thông tư này đã được  Cục Quản lý Dược công bố trên trang Thông tin điện tử: Không yêu cầu nộp các giấy tờ pháp lý tại khoản này.”</w:t>
      </w:r>
    </w:p>
    <w:p w14:paraId="4C9D4536" w14:textId="4E419B1F" w:rsidR="00AE6908" w:rsidRPr="00644990" w:rsidRDefault="00AE6908" w:rsidP="00EB3CC8">
      <w:pPr>
        <w:pStyle w:val="ListParagraph"/>
        <w:numPr>
          <w:ilvl w:val="0"/>
          <w:numId w:val="1"/>
        </w:numPr>
        <w:tabs>
          <w:tab w:val="left" w:pos="1134"/>
        </w:tabs>
        <w:spacing w:before="120" w:after="120"/>
        <w:ind w:left="0" w:firstLine="720"/>
        <w:rPr>
          <w:rFonts w:ascii="Times New Roman" w:hAnsi="Times New Roman" w:cs="Times New Roman"/>
          <w:bCs/>
          <w:sz w:val="28"/>
          <w:szCs w:val="28"/>
          <w:lang w:val="pt-BR"/>
        </w:rPr>
      </w:pPr>
      <w:r w:rsidRPr="00644990">
        <w:rPr>
          <w:rFonts w:ascii="Times New Roman" w:hAnsi="Times New Roman" w:cs="Times New Roman"/>
          <w:bCs/>
          <w:sz w:val="28"/>
          <w:szCs w:val="28"/>
          <w:lang w:val="pt-BR"/>
        </w:rPr>
        <w:t>Sửa đổi, bổ sung khoản 13 Điều 23</w:t>
      </w:r>
    </w:p>
    <w:p w14:paraId="4874F38C" w14:textId="77777777" w:rsidR="00AE6908" w:rsidRPr="00644990" w:rsidRDefault="00AE6908" w:rsidP="00EB3CC8">
      <w:pPr>
        <w:tabs>
          <w:tab w:val="left" w:pos="1134"/>
          <w:tab w:val="left" w:pos="3090"/>
        </w:tabs>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lastRenderedPageBreak/>
        <w:t>“13. Mẫu nhãn thuốc, nguyên liệu làm thuốc và tờ hướng dẫn sử dụng thuốc lưu hành thực tế tại nước sản xuất hoặc nước cấp CPP có dấu xác nhận của văn phòng đại diện hoặc cơ sở đăng ký hoặc cơ sở sản xuất (chấp nhận bản in màu). Trường hợp tờ hướng dẫn sử dụng thuốc thực tế tại nước sở tại không phải bằng tiếng Anh yêu cầu nộp bản dịch sang tiếng Việt có dấu xác nhận của văn phòng đại diện hoặc cơ sở đăng ký hoặc cơ sở sản xuất.”</w:t>
      </w:r>
    </w:p>
    <w:p w14:paraId="49B00DE9" w14:textId="3E3A96A2" w:rsidR="00AE6908" w:rsidRPr="00644990" w:rsidRDefault="00AE6908" w:rsidP="00EB3CC8">
      <w:pPr>
        <w:pStyle w:val="ListParagraph"/>
        <w:numPr>
          <w:ilvl w:val="0"/>
          <w:numId w:val="1"/>
        </w:numPr>
        <w:tabs>
          <w:tab w:val="left" w:pos="1134"/>
        </w:tabs>
        <w:spacing w:before="120" w:after="120"/>
        <w:ind w:left="0" w:firstLine="720"/>
        <w:rPr>
          <w:rFonts w:ascii="Times New Roman" w:hAnsi="Times New Roman" w:cs="Times New Roman"/>
          <w:bCs/>
          <w:sz w:val="28"/>
          <w:szCs w:val="28"/>
          <w:lang w:val="pt-BR"/>
        </w:rPr>
      </w:pPr>
      <w:r w:rsidRPr="00644990">
        <w:rPr>
          <w:rFonts w:ascii="Times New Roman" w:hAnsi="Times New Roman" w:cs="Times New Roman"/>
          <w:bCs/>
          <w:sz w:val="28"/>
          <w:szCs w:val="28"/>
          <w:lang w:val="pt-BR"/>
        </w:rPr>
        <w:t>Sửa đổi, b</w:t>
      </w:r>
      <w:r w:rsidR="00435BA0" w:rsidRPr="00644990">
        <w:rPr>
          <w:rFonts w:ascii="Times New Roman" w:hAnsi="Times New Roman" w:cs="Times New Roman"/>
          <w:bCs/>
          <w:sz w:val="28"/>
          <w:szCs w:val="28"/>
          <w:lang w:val="pt-BR"/>
        </w:rPr>
        <w:t>ổ sung</w:t>
      </w:r>
      <w:r w:rsidRPr="00644990">
        <w:rPr>
          <w:rFonts w:ascii="Times New Roman" w:hAnsi="Times New Roman" w:cs="Times New Roman"/>
          <w:bCs/>
          <w:sz w:val="28"/>
          <w:szCs w:val="28"/>
          <w:lang w:val="pt-BR"/>
        </w:rPr>
        <w:t xml:space="preserve"> khoản 16 Điều 23</w:t>
      </w:r>
    </w:p>
    <w:p w14:paraId="02128B80" w14:textId="77777777" w:rsidR="00435BA0" w:rsidRPr="00644990" w:rsidRDefault="00435BA0" w:rsidP="00EB3CC8">
      <w:pPr>
        <w:tabs>
          <w:tab w:val="left" w:pos="1134"/>
        </w:tabs>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 xml:space="preserve">“16. Tiêu chuẩn chất lượng, phương pháp kiểm nghiệm, phiếu kiểm nghiệm và hồ sơ nghiên cứu độ ổn định (áp dụng đối với cả phần hồ sơ dược chất và thuốc thành phẩm) phải là bản chính có chữ ký và dấu xác nhận của cơ sở sản xuất, </w:t>
      </w:r>
      <w:r w:rsidRPr="00644990">
        <w:rPr>
          <w:rFonts w:ascii="Times New Roman" w:hAnsi="Times New Roman" w:cs="Times New Roman"/>
          <w:bCs/>
          <w:color w:val="auto"/>
          <w:sz w:val="28"/>
          <w:szCs w:val="28"/>
        </w:rPr>
        <w:t>trường hợp có nhiều cơ sở sản xuất tham gia quá trình sản xuất thành phẩm, chấp nhận dấu của một trong các cơ sở sản xuất tham gia quá trình sản xuất (bao gồm cả cơ sở xuất xưởng lô thành phẩm)</w:t>
      </w:r>
      <w:r w:rsidRPr="00644990">
        <w:rPr>
          <w:rFonts w:ascii="Times New Roman" w:hAnsi="Times New Roman" w:cs="Times New Roman"/>
          <w:bCs/>
          <w:color w:val="auto"/>
          <w:sz w:val="28"/>
          <w:szCs w:val="28"/>
          <w:lang w:val="pt-BR"/>
        </w:rPr>
        <w:t>; trường hợp nộp bản sao thì phải có dấu xác nhận của cơ sở đăng ký (chấp nhận dấu của văn phòng đại diện đối với thuốc nước ngoài).”</w:t>
      </w:r>
    </w:p>
    <w:p w14:paraId="1C7E578A" w14:textId="12603D64" w:rsidR="004E754A" w:rsidRPr="00644990" w:rsidRDefault="00435BA0" w:rsidP="00EB3CC8">
      <w:pPr>
        <w:pStyle w:val="ListParagraph"/>
        <w:numPr>
          <w:ilvl w:val="0"/>
          <w:numId w:val="1"/>
        </w:numPr>
        <w:tabs>
          <w:tab w:val="left" w:pos="1134"/>
        </w:tabs>
        <w:spacing w:before="120" w:after="120"/>
        <w:ind w:left="0" w:firstLine="720"/>
        <w:rPr>
          <w:rFonts w:ascii="Times New Roman" w:hAnsi="Times New Roman" w:cs="Times New Roman"/>
          <w:bCs/>
          <w:sz w:val="28"/>
          <w:szCs w:val="28"/>
        </w:rPr>
      </w:pPr>
      <w:r w:rsidRPr="00644990">
        <w:rPr>
          <w:rFonts w:ascii="Times New Roman" w:hAnsi="Times New Roman" w:cs="Times New Roman"/>
          <w:bCs/>
          <w:sz w:val="28"/>
          <w:szCs w:val="28"/>
        </w:rPr>
        <w:t>Sửa đổi, bổ sung</w:t>
      </w:r>
      <w:r w:rsidR="00212205" w:rsidRPr="00644990">
        <w:rPr>
          <w:rFonts w:ascii="Times New Roman" w:hAnsi="Times New Roman" w:cs="Times New Roman"/>
          <w:bCs/>
          <w:sz w:val="28"/>
          <w:szCs w:val="28"/>
        </w:rPr>
        <w:t xml:space="preserve"> mũ điều,</w:t>
      </w:r>
      <w:r w:rsidRPr="00644990">
        <w:rPr>
          <w:rFonts w:ascii="Times New Roman" w:hAnsi="Times New Roman" w:cs="Times New Roman"/>
          <w:bCs/>
          <w:sz w:val="28"/>
          <w:szCs w:val="28"/>
        </w:rPr>
        <w:t xml:space="preserve"> khoản 1, khoản 3 Điều 25 như sau:</w:t>
      </w:r>
    </w:p>
    <w:p w14:paraId="7F598583" w14:textId="62ED2D23" w:rsidR="00212205" w:rsidRPr="00644990" w:rsidRDefault="00105F6C" w:rsidP="00EB3CC8">
      <w:pPr>
        <w:tabs>
          <w:tab w:val="left" w:pos="1134"/>
        </w:tabs>
        <w:spacing w:before="120" w:after="120"/>
        <w:ind w:firstLine="720"/>
        <w:jc w:val="both"/>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lang w:val="en-US"/>
        </w:rPr>
        <w:t>a)</w:t>
      </w:r>
      <w:r w:rsidR="00435BA0" w:rsidRPr="00644990">
        <w:rPr>
          <w:rFonts w:ascii="Times New Roman" w:hAnsi="Times New Roman" w:cs="Times New Roman"/>
          <w:bCs/>
          <w:color w:val="auto"/>
          <w:sz w:val="28"/>
          <w:szCs w:val="28"/>
          <w:lang w:val="en-US"/>
        </w:rPr>
        <w:t xml:space="preserve"> </w:t>
      </w:r>
      <w:r w:rsidR="00212205" w:rsidRPr="00644990">
        <w:rPr>
          <w:rFonts w:ascii="Times New Roman" w:hAnsi="Times New Roman" w:cs="Times New Roman"/>
          <w:bCs/>
          <w:color w:val="auto"/>
          <w:sz w:val="28"/>
          <w:szCs w:val="28"/>
          <w:lang w:val="en-US"/>
        </w:rPr>
        <w:t>Bỏ “gia hạn” trong mũ Điều 25.</w:t>
      </w:r>
    </w:p>
    <w:p w14:paraId="35F0F8CA" w14:textId="1C15D6B4" w:rsidR="00435BA0" w:rsidRPr="00644990" w:rsidRDefault="00212205" w:rsidP="00EB3CC8">
      <w:pPr>
        <w:tabs>
          <w:tab w:val="left" w:pos="1134"/>
        </w:tabs>
        <w:spacing w:before="120" w:after="120"/>
        <w:ind w:firstLine="720"/>
        <w:jc w:val="both"/>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lang w:val="en-US"/>
        </w:rPr>
        <w:t xml:space="preserve">b) </w:t>
      </w:r>
      <w:r w:rsidR="00435BA0" w:rsidRPr="00644990">
        <w:rPr>
          <w:rFonts w:ascii="Times New Roman" w:hAnsi="Times New Roman" w:cs="Times New Roman"/>
          <w:bCs/>
          <w:color w:val="auto"/>
          <w:sz w:val="28"/>
          <w:szCs w:val="28"/>
          <w:lang w:val="en-US"/>
        </w:rPr>
        <w:t>Sửa đổi điểm a khoản 1 Điề</w:t>
      </w:r>
      <w:r w:rsidR="005D49C1" w:rsidRPr="00644990">
        <w:rPr>
          <w:rFonts w:ascii="Times New Roman" w:hAnsi="Times New Roman" w:cs="Times New Roman"/>
          <w:bCs/>
          <w:color w:val="auto"/>
          <w:sz w:val="28"/>
          <w:szCs w:val="28"/>
          <w:lang w:val="en-US"/>
        </w:rPr>
        <w:t>u 25</w:t>
      </w:r>
      <w:r w:rsidR="001D5D16" w:rsidRPr="00644990">
        <w:rPr>
          <w:rFonts w:ascii="Times New Roman" w:hAnsi="Times New Roman" w:cs="Times New Roman"/>
          <w:bCs/>
          <w:color w:val="auto"/>
          <w:sz w:val="28"/>
          <w:szCs w:val="28"/>
          <w:lang w:val="en-US"/>
        </w:rPr>
        <w:t xml:space="preserve"> như sau:</w:t>
      </w:r>
    </w:p>
    <w:p w14:paraId="78853BF0" w14:textId="77777777" w:rsidR="001D5D16" w:rsidRPr="00644990" w:rsidRDefault="001D5D16" w:rsidP="00EB3CC8">
      <w:pPr>
        <w:tabs>
          <w:tab w:val="left" w:pos="1134"/>
        </w:tabs>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en-US"/>
        </w:rPr>
        <w:t>“a)</w:t>
      </w:r>
      <w:r w:rsidRPr="00644990">
        <w:rPr>
          <w:rFonts w:ascii="Times New Roman" w:hAnsi="Times New Roman" w:cs="Times New Roman"/>
          <w:bCs/>
          <w:color w:val="auto"/>
          <w:sz w:val="28"/>
          <w:szCs w:val="28"/>
          <w:lang w:val="pt-BR"/>
        </w:rPr>
        <w:t xml:space="preserve"> Giấy chứng nhận xuất xưởng lô được cấp bởi cơ quan có thẩm quyền nước cấp CPP theo quy định hoặc một trong các cơ quan quản lý quy định tại khoản 10 Điều 2 Thông tư này”</w:t>
      </w:r>
    </w:p>
    <w:p w14:paraId="2A596F3C" w14:textId="3FE98B8E" w:rsidR="001D5D16" w:rsidRPr="00644990" w:rsidRDefault="00212205" w:rsidP="00EB3CC8">
      <w:pPr>
        <w:tabs>
          <w:tab w:val="left" w:pos="1134"/>
        </w:tabs>
        <w:spacing w:before="120" w:after="120"/>
        <w:ind w:firstLine="720"/>
        <w:jc w:val="both"/>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c</w:t>
      </w:r>
      <w:r w:rsidR="00105F6C" w:rsidRPr="00644990">
        <w:rPr>
          <w:rFonts w:ascii="Times New Roman" w:hAnsi="Times New Roman" w:cs="Times New Roman"/>
          <w:bCs/>
          <w:color w:val="auto"/>
          <w:sz w:val="28"/>
          <w:szCs w:val="28"/>
          <w:lang w:val="pt-BR"/>
        </w:rPr>
        <w:t>)</w:t>
      </w:r>
      <w:r w:rsidR="001D5D16" w:rsidRPr="00644990">
        <w:rPr>
          <w:rFonts w:ascii="Times New Roman" w:hAnsi="Times New Roman" w:cs="Times New Roman"/>
          <w:bCs/>
          <w:color w:val="auto"/>
          <w:sz w:val="28"/>
          <w:szCs w:val="28"/>
          <w:lang w:val="pt-BR"/>
        </w:rPr>
        <w:t xml:space="preserve"> Bãi bỏ điểm </w:t>
      </w:r>
      <w:r w:rsidR="00EB370D" w:rsidRPr="00644990">
        <w:rPr>
          <w:rFonts w:ascii="Times New Roman" w:hAnsi="Times New Roman" w:cs="Times New Roman"/>
          <w:bCs/>
          <w:color w:val="auto"/>
          <w:sz w:val="28"/>
          <w:szCs w:val="28"/>
          <w:lang w:val="pt-BR"/>
        </w:rPr>
        <w:t>b khoản 1 Điề</w:t>
      </w:r>
      <w:r w:rsidR="005D49C1" w:rsidRPr="00644990">
        <w:rPr>
          <w:rFonts w:ascii="Times New Roman" w:hAnsi="Times New Roman" w:cs="Times New Roman"/>
          <w:bCs/>
          <w:color w:val="auto"/>
          <w:sz w:val="28"/>
          <w:szCs w:val="28"/>
          <w:lang w:val="pt-BR"/>
        </w:rPr>
        <w:t>u 25</w:t>
      </w:r>
      <w:r w:rsidRPr="00644990">
        <w:rPr>
          <w:rFonts w:ascii="Times New Roman" w:hAnsi="Times New Roman" w:cs="Times New Roman"/>
          <w:bCs/>
          <w:color w:val="auto"/>
          <w:sz w:val="28"/>
          <w:szCs w:val="28"/>
          <w:lang w:val="pt-BR"/>
        </w:rPr>
        <w:t>.</w:t>
      </w:r>
    </w:p>
    <w:p w14:paraId="440D0CD1" w14:textId="0C7717E7" w:rsidR="00EB370D" w:rsidRPr="00644990" w:rsidRDefault="007267D3" w:rsidP="00EB3CC8">
      <w:pPr>
        <w:tabs>
          <w:tab w:val="left" w:pos="1134"/>
        </w:tabs>
        <w:spacing w:before="120" w:after="120"/>
        <w:ind w:firstLine="720"/>
        <w:jc w:val="both"/>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lang w:val="en-US"/>
        </w:rPr>
        <w:t>d</w:t>
      </w:r>
      <w:r w:rsidR="00105F6C" w:rsidRPr="00644990">
        <w:rPr>
          <w:rFonts w:ascii="Times New Roman" w:hAnsi="Times New Roman" w:cs="Times New Roman"/>
          <w:bCs/>
          <w:color w:val="auto"/>
          <w:sz w:val="28"/>
          <w:szCs w:val="28"/>
          <w:lang w:val="en-US"/>
        </w:rPr>
        <w:t>)</w:t>
      </w:r>
      <w:r w:rsidR="005D49C1" w:rsidRPr="00644990">
        <w:rPr>
          <w:rFonts w:ascii="Times New Roman" w:hAnsi="Times New Roman" w:cs="Times New Roman"/>
          <w:bCs/>
          <w:color w:val="auto"/>
          <w:sz w:val="28"/>
          <w:szCs w:val="28"/>
          <w:lang w:val="en-US"/>
        </w:rPr>
        <w:t xml:space="preserve"> </w:t>
      </w:r>
      <w:r w:rsidR="00035351" w:rsidRPr="00644990">
        <w:rPr>
          <w:rFonts w:ascii="Times New Roman" w:hAnsi="Times New Roman" w:cs="Times New Roman"/>
          <w:bCs/>
          <w:color w:val="auto"/>
          <w:sz w:val="28"/>
          <w:szCs w:val="28"/>
          <w:lang w:val="en-US"/>
        </w:rPr>
        <w:t>Bổ sung điểm c</w:t>
      </w:r>
      <w:r w:rsidR="005D49C1" w:rsidRPr="00644990">
        <w:rPr>
          <w:rFonts w:ascii="Times New Roman" w:hAnsi="Times New Roman" w:cs="Times New Roman"/>
          <w:bCs/>
          <w:color w:val="auto"/>
          <w:sz w:val="28"/>
          <w:szCs w:val="28"/>
          <w:lang w:val="en-US"/>
        </w:rPr>
        <w:t xml:space="preserve"> khoản </w:t>
      </w:r>
      <w:r w:rsidR="00212205" w:rsidRPr="00644990">
        <w:rPr>
          <w:rFonts w:ascii="Times New Roman" w:hAnsi="Times New Roman" w:cs="Times New Roman"/>
          <w:bCs/>
          <w:color w:val="auto"/>
          <w:sz w:val="28"/>
          <w:szCs w:val="28"/>
          <w:lang w:val="en-US"/>
        </w:rPr>
        <w:t>7</w:t>
      </w:r>
      <w:r w:rsidR="005D49C1" w:rsidRPr="00644990">
        <w:rPr>
          <w:rFonts w:ascii="Times New Roman" w:hAnsi="Times New Roman" w:cs="Times New Roman"/>
          <w:bCs/>
          <w:color w:val="auto"/>
          <w:sz w:val="28"/>
          <w:szCs w:val="28"/>
          <w:lang w:val="en-US"/>
        </w:rPr>
        <w:t xml:space="preserve"> Điều 25 như sau: </w:t>
      </w:r>
    </w:p>
    <w:p w14:paraId="7BE6DEB8" w14:textId="5D343205" w:rsidR="007547D9" w:rsidRPr="00644990" w:rsidRDefault="007547D9" w:rsidP="00EB3CC8">
      <w:pPr>
        <w:tabs>
          <w:tab w:val="left" w:pos="1134"/>
        </w:tabs>
        <w:spacing w:before="120" w:after="120"/>
        <w:ind w:firstLine="720"/>
        <w:jc w:val="both"/>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lang w:val="en-US"/>
        </w:rPr>
        <w:t>“c) Trường hợp nguyên liệu có giấy chứng nhận tuân thủ dược điển châu Âu (CEP): Hồ sơ dược chất tại điểm a,b khoản này có thể được thay thế bằng việc nộp bộ tài liệu sau:</w:t>
      </w:r>
    </w:p>
    <w:p w14:paraId="62FB4316" w14:textId="50A7D0B8" w:rsidR="007547D9" w:rsidRPr="00644990" w:rsidRDefault="007547D9" w:rsidP="00EB3CC8">
      <w:pPr>
        <w:tabs>
          <w:tab w:val="left" w:pos="1134"/>
        </w:tabs>
        <w:spacing w:before="120" w:after="120"/>
        <w:ind w:firstLine="720"/>
        <w:jc w:val="both"/>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lang w:val="en-US"/>
        </w:rPr>
        <w:t xml:space="preserve">- Giấy chứng nhận tuân thủ dược điển châu Âu (CEP) đối với dược chất kèm theo tất cả các phụ lục được ban hành bởi Hội đồng châu Âu về chất lượng thuốc (EDQM). </w:t>
      </w:r>
    </w:p>
    <w:p w14:paraId="5C4981C6" w14:textId="6BAC881D" w:rsidR="007547D9" w:rsidRPr="00644990" w:rsidRDefault="007547D9" w:rsidP="00EB3CC8">
      <w:pPr>
        <w:tabs>
          <w:tab w:val="left" w:pos="1134"/>
        </w:tabs>
        <w:spacing w:before="120" w:after="120"/>
        <w:ind w:firstLine="720"/>
        <w:jc w:val="both"/>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lang w:val="en-US"/>
        </w:rPr>
        <w:t>- Số liệu phân tích lô</w:t>
      </w:r>
      <w:r w:rsidR="005425C7">
        <w:rPr>
          <w:rFonts w:ascii="Times New Roman" w:hAnsi="Times New Roman" w:cs="Times New Roman"/>
          <w:bCs/>
          <w:color w:val="auto"/>
          <w:sz w:val="28"/>
          <w:szCs w:val="28"/>
          <w:lang w:val="en-US"/>
        </w:rPr>
        <w:t xml:space="preserve"> dược chất</w:t>
      </w:r>
      <w:r w:rsidRPr="00644990">
        <w:rPr>
          <w:rFonts w:ascii="Times New Roman" w:hAnsi="Times New Roman" w:cs="Times New Roman"/>
          <w:bCs/>
          <w:color w:val="auto"/>
          <w:sz w:val="28"/>
          <w:szCs w:val="28"/>
          <w:lang w:val="en-US"/>
        </w:rPr>
        <w:t xml:space="preserve">. </w:t>
      </w:r>
    </w:p>
    <w:p w14:paraId="314D4A21" w14:textId="53E8F973" w:rsidR="00212205" w:rsidRPr="00644990" w:rsidRDefault="007547D9" w:rsidP="00EB3CC8">
      <w:pPr>
        <w:tabs>
          <w:tab w:val="left" w:pos="1134"/>
        </w:tabs>
        <w:spacing w:before="120" w:after="120"/>
        <w:ind w:firstLine="720"/>
        <w:jc w:val="both"/>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lang w:val="en-US"/>
        </w:rPr>
        <w:t>- Nếu thời hạn phải kiểm tra lại chất lượng dược chất không nêu trong CEP, nộp số liệu nghiên cứu độ ổn định của dược chất.”</w:t>
      </w:r>
    </w:p>
    <w:p w14:paraId="7D218E94" w14:textId="77777777" w:rsidR="00212205" w:rsidRPr="00644990" w:rsidRDefault="00212205" w:rsidP="00EB3CC8">
      <w:pPr>
        <w:tabs>
          <w:tab w:val="left" w:pos="1134"/>
        </w:tabs>
        <w:spacing w:before="120" w:after="120"/>
        <w:ind w:firstLine="720"/>
        <w:jc w:val="both"/>
        <w:rPr>
          <w:rFonts w:ascii="Times New Roman" w:hAnsi="Times New Roman" w:cs="Times New Roman"/>
          <w:bCs/>
          <w:color w:val="auto"/>
          <w:sz w:val="28"/>
          <w:szCs w:val="28"/>
          <w:lang w:val="en-US"/>
        </w:rPr>
      </w:pPr>
    </w:p>
    <w:p w14:paraId="342CE4B1" w14:textId="162B2675" w:rsidR="00291ABB" w:rsidRPr="00644990" w:rsidRDefault="008C0EA4" w:rsidP="00EB3CC8">
      <w:pPr>
        <w:pStyle w:val="ListParagraph"/>
        <w:numPr>
          <w:ilvl w:val="0"/>
          <w:numId w:val="1"/>
        </w:numPr>
        <w:tabs>
          <w:tab w:val="left" w:pos="1134"/>
        </w:tabs>
        <w:spacing w:before="120" w:after="120"/>
        <w:ind w:left="0" w:firstLine="720"/>
        <w:rPr>
          <w:rFonts w:ascii="Times New Roman" w:hAnsi="Times New Roman" w:cs="Times New Roman"/>
          <w:bCs/>
          <w:sz w:val="28"/>
          <w:szCs w:val="28"/>
        </w:rPr>
      </w:pPr>
      <w:r w:rsidRPr="00644990">
        <w:rPr>
          <w:rFonts w:ascii="Times New Roman" w:hAnsi="Times New Roman" w:cs="Times New Roman"/>
          <w:bCs/>
          <w:sz w:val="28"/>
          <w:szCs w:val="28"/>
        </w:rPr>
        <w:t>Bỏ từ “gia hạn” trong mũ</w:t>
      </w:r>
      <w:r w:rsidR="00291ABB" w:rsidRPr="00644990">
        <w:rPr>
          <w:rFonts w:ascii="Times New Roman" w:hAnsi="Times New Roman" w:cs="Times New Roman"/>
          <w:bCs/>
          <w:sz w:val="28"/>
          <w:szCs w:val="28"/>
        </w:rPr>
        <w:t xml:space="preserve"> </w:t>
      </w:r>
      <w:r w:rsidR="00212205" w:rsidRPr="00644990">
        <w:rPr>
          <w:rFonts w:ascii="Times New Roman" w:hAnsi="Times New Roman" w:cs="Times New Roman"/>
          <w:bCs/>
          <w:sz w:val="28"/>
          <w:szCs w:val="28"/>
        </w:rPr>
        <w:t>Đ</w:t>
      </w:r>
      <w:r w:rsidR="00291ABB" w:rsidRPr="00644990">
        <w:rPr>
          <w:rFonts w:ascii="Times New Roman" w:hAnsi="Times New Roman" w:cs="Times New Roman"/>
          <w:bCs/>
          <w:sz w:val="28"/>
          <w:szCs w:val="28"/>
        </w:rPr>
        <w:t>iề</w:t>
      </w:r>
      <w:r w:rsidR="00212205" w:rsidRPr="00644990">
        <w:rPr>
          <w:rFonts w:ascii="Times New Roman" w:hAnsi="Times New Roman" w:cs="Times New Roman"/>
          <w:bCs/>
          <w:sz w:val="28"/>
          <w:szCs w:val="28"/>
        </w:rPr>
        <w:t>u 26, Đ</w:t>
      </w:r>
      <w:r w:rsidR="00291ABB" w:rsidRPr="00644990">
        <w:rPr>
          <w:rFonts w:ascii="Times New Roman" w:hAnsi="Times New Roman" w:cs="Times New Roman"/>
          <w:bCs/>
          <w:sz w:val="28"/>
          <w:szCs w:val="28"/>
        </w:rPr>
        <w:t>iều 27 như sau:</w:t>
      </w:r>
    </w:p>
    <w:p w14:paraId="1466090E" w14:textId="4B5B82D4" w:rsidR="00291ABB" w:rsidRPr="00644990" w:rsidRDefault="00FE0772" w:rsidP="00EB3CC8">
      <w:pPr>
        <w:pStyle w:val="ListParagraph"/>
        <w:numPr>
          <w:ilvl w:val="0"/>
          <w:numId w:val="1"/>
        </w:numPr>
        <w:tabs>
          <w:tab w:val="left" w:pos="1134"/>
        </w:tabs>
        <w:spacing w:before="120" w:after="120"/>
        <w:ind w:left="0" w:firstLine="720"/>
        <w:rPr>
          <w:rFonts w:ascii="Times New Roman" w:hAnsi="Times New Roman" w:cs="Times New Roman"/>
          <w:bCs/>
          <w:sz w:val="28"/>
          <w:szCs w:val="28"/>
        </w:rPr>
      </w:pPr>
      <w:r w:rsidRPr="00644990">
        <w:rPr>
          <w:rFonts w:ascii="Times New Roman" w:hAnsi="Times New Roman" w:cs="Times New Roman"/>
          <w:bCs/>
          <w:sz w:val="28"/>
          <w:szCs w:val="28"/>
        </w:rPr>
        <w:t>Sửa đổi, bổ sung khoản 1 Điều 36</w:t>
      </w:r>
      <w:r w:rsidR="00E05532" w:rsidRPr="00644990">
        <w:rPr>
          <w:rFonts w:ascii="Times New Roman" w:hAnsi="Times New Roman" w:cs="Times New Roman"/>
          <w:bCs/>
          <w:sz w:val="28"/>
          <w:szCs w:val="28"/>
        </w:rPr>
        <w:t>, tiết 3 điểm c khoản 4 Điều 37</w:t>
      </w:r>
      <w:r w:rsidRPr="00644990">
        <w:rPr>
          <w:rFonts w:ascii="Times New Roman" w:hAnsi="Times New Roman" w:cs="Times New Roman"/>
          <w:bCs/>
          <w:sz w:val="28"/>
          <w:szCs w:val="28"/>
        </w:rPr>
        <w:t xml:space="preserve"> như sau:</w:t>
      </w:r>
    </w:p>
    <w:p w14:paraId="29762040" w14:textId="356653CE" w:rsidR="00E05532" w:rsidRPr="00644990" w:rsidRDefault="00105F6C" w:rsidP="00EB3CC8">
      <w:pPr>
        <w:tabs>
          <w:tab w:val="left" w:pos="1134"/>
        </w:tabs>
        <w:spacing w:before="120" w:after="120"/>
        <w:ind w:firstLine="720"/>
        <w:jc w:val="both"/>
        <w:textAlignment w:val="baseline"/>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lang w:val="en-US"/>
        </w:rPr>
        <w:t>a)</w:t>
      </w:r>
      <w:r w:rsidR="00E05532" w:rsidRPr="00644990">
        <w:rPr>
          <w:rFonts w:ascii="Times New Roman" w:hAnsi="Times New Roman" w:cs="Times New Roman"/>
          <w:bCs/>
          <w:color w:val="auto"/>
          <w:sz w:val="28"/>
          <w:szCs w:val="28"/>
          <w:lang w:val="en-US"/>
        </w:rPr>
        <w:t xml:space="preserve"> Sửa đổi, bổ</w:t>
      </w:r>
      <w:r w:rsidR="00F10A30" w:rsidRPr="00644990">
        <w:rPr>
          <w:rFonts w:ascii="Times New Roman" w:hAnsi="Times New Roman" w:cs="Times New Roman"/>
          <w:bCs/>
          <w:color w:val="auto"/>
          <w:sz w:val="28"/>
          <w:szCs w:val="28"/>
          <w:lang w:val="en-US"/>
        </w:rPr>
        <w:t xml:space="preserve"> sung</w:t>
      </w:r>
      <w:r w:rsidR="00E05532" w:rsidRPr="00644990">
        <w:rPr>
          <w:rFonts w:ascii="Times New Roman" w:hAnsi="Times New Roman" w:cs="Times New Roman"/>
          <w:bCs/>
          <w:color w:val="auto"/>
          <w:sz w:val="28"/>
          <w:szCs w:val="28"/>
          <w:lang w:val="en-US"/>
        </w:rPr>
        <w:t xml:space="preserve"> Điều 36 như sau: </w:t>
      </w:r>
    </w:p>
    <w:p w14:paraId="33BFF9A3" w14:textId="220A8F2B" w:rsidR="00FE0772" w:rsidRPr="00644990" w:rsidRDefault="00FE0772" w:rsidP="00EB3CC8">
      <w:pPr>
        <w:tabs>
          <w:tab w:val="left" w:pos="1134"/>
        </w:tabs>
        <w:spacing w:before="120" w:after="120"/>
        <w:ind w:firstLine="720"/>
        <w:jc w:val="both"/>
        <w:textAlignment w:val="baseline"/>
        <w:rPr>
          <w:rFonts w:ascii="Times New Roman" w:hAnsi="Times New Roman" w:cs="Times New Roman"/>
          <w:bCs/>
          <w:color w:val="auto"/>
          <w:sz w:val="28"/>
          <w:szCs w:val="28"/>
        </w:rPr>
      </w:pPr>
      <w:r w:rsidRPr="00644990">
        <w:rPr>
          <w:rFonts w:ascii="Times New Roman" w:hAnsi="Times New Roman" w:cs="Times New Roman"/>
          <w:bCs/>
          <w:color w:val="auto"/>
          <w:sz w:val="28"/>
          <w:szCs w:val="28"/>
          <w:lang w:val="en-US"/>
        </w:rPr>
        <w:t>“</w:t>
      </w:r>
      <w:r w:rsidRPr="00644990">
        <w:rPr>
          <w:rFonts w:ascii="Times New Roman" w:hAnsi="Times New Roman" w:cs="Times New Roman"/>
          <w:bCs/>
          <w:color w:val="auto"/>
          <w:sz w:val="28"/>
          <w:szCs w:val="28"/>
        </w:rPr>
        <w:t xml:space="preserve">1. </w:t>
      </w:r>
      <w:r w:rsidRPr="00644990">
        <w:rPr>
          <w:rFonts w:ascii="Times New Roman" w:hAnsi="Times New Roman" w:cs="Times New Roman"/>
          <w:bCs/>
          <w:color w:val="auto"/>
          <w:sz w:val="28"/>
          <w:szCs w:val="28"/>
          <w:lang w:val="pt-BR"/>
        </w:rPr>
        <w:t xml:space="preserve">Bộ trưởng Bộ Y tế giao Cục Quản lý Dược </w:t>
      </w:r>
      <w:r w:rsidRPr="00644990">
        <w:rPr>
          <w:rFonts w:ascii="Times New Roman" w:hAnsi="Times New Roman" w:cs="Times New Roman"/>
          <w:bCs/>
          <w:color w:val="auto"/>
          <w:sz w:val="28"/>
          <w:szCs w:val="28"/>
        </w:rPr>
        <w:t>tổ chức thẩm định hồ</w:t>
      </w:r>
      <w:r w:rsidR="00A85786" w:rsidRPr="00644990">
        <w:rPr>
          <w:rFonts w:ascii="Times New Roman" w:hAnsi="Times New Roman" w:cs="Times New Roman"/>
          <w:bCs/>
          <w:color w:val="auto"/>
          <w:sz w:val="28"/>
          <w:szCs w:val="28"/>
        </w:rPr>
        <w:t xml:space="preserve"> sơ</w:t>
      </w:r>
      <w:r w:rsidRPr="00644990">
        <w:rPr>
          <w:rFonts w:ascii="Times New Roman" w:hAnsi="Times New Roman" w:cs="Times New Roman"/>
          <w:bCs/>
          <w:color w:val="auto"/>
          <w:sz w:val="28"/>
          <w:szCs w:val="28"/>
        </w:rPr>
        <w:t xml:space="preserve"> cấp, </w:t>
      </w:r>
      <w:r w:rsidRPr="00644990">
        <w:rPr>
          <w:rFonts w:ascii="Times New Roman" w:hAnsi="Times New Roman" w:cs="Times New Roman"/>
          <w:bCs/>
          <w:color w:val="auto"/>
          <w:sz w:val="28"/>
          <w:szCs w:val="28"/>
        </w:rPr>
        <w:lastRenderedPageBreak/>
        <w:t>gia hạn giấy đăng ký lưu hành thuốc, nguyên liệu làm thuốc, phê duyệt thay đổi lớn giấy đăng ký lưu hành thuốc bao gồm</w:t>
      </w:r>
      <w:r w:rsidRPr="00644990">
        <w:rPr>
          <w:rFonts w:ascii="Times New Roman" w:hAnsi="Times New Roman" w:cs="Times New Roman"/>
          <w:bCs/>
          <w:color w:val="auto"/>
          <w:sz w:val="28"/>
          <w:szCs w:val="28"/>
          <w:lang w:val="pt-BR"/>
        </w:rPr>
        <w:t xml:space="preserve"> thay đổi chỉ định, liều dùng, đối tượng dùng thuốc (trừ trường hợp thay đổi theo biệt dược gốc đã được cấp giấy đăng ký lưu hành tại Việt Nam)</w:t>
      </w:r>
      <w:r w:rsidRPr="00644990">
        <w:rPr>
          <w:rFonts w:ascii="Times New Roman" w:hAnsi="Times New Roman" w:cs="Times New Roman"/>
          <w:bCs/>
          <w:color w:val="auto"/>
          <w:sz w:val="28"/>
          <w:szCs w:val="28"/>
        </w:rPr>
        <w:t xml:space="preserve"> và công bố biệt dược gốc, </w:t>
      </w:r>
      <w:r w:rsidRPr="00644990">
        <w:rPr>
          <w:rFonts w:ascii="Times New Roman" w:hAnsi="Times New Roman" w:cs="Times New Roman"/>
          <w:bCs/>
          <w:color w:val="auto"/>
          <w:sz w:val="28"/>
          <w:szCs w:val="28"/>
          <w:lang w:val="pt-BR"/>
        </w:rPr>
        <w:t>thuốc có báo cáo nghiên cứu tương đương sinh học</w:t>
      </w:r>
      <w:r w:rsidRPr="00644990">
        <w:rPr>
          <w:rFonts w:ascii="Times New Roman" w:hAnsi="Times New Roman" w:cs="Times New Roman"/>
          <w:bCs/>
          <w:color w:val="auto"/>
          <w:sz w:val="28"/>
          <w:szCs w:val="28"/>
        </w:rPr>
        <w:t xml:space="preserve"> trên cơ sở ý kiến thẩm định hồ sơ, tư vấn của Hội đồng tư vấn cấp giấy đăng ký lưu hành thuốc, nguyên liệu làm thuốc.</w:t>
      </w:r>
      <w:r w:rsidRPr="00644990">
        <w:rPr>
          <w:rFonts w:ascii="Times New Roman" w:hAnsi="Times New Roman" w:cs="Times New Roman"/>
          <w:bCs/>
          <w:color w:val="auto"/>
          <w:sz w:val="28"/>
          <w:szCs w:val="28"/>
          <w:lang w:val="en-US"/>
        </w:rPr>
        <w:t>”</w:t>
      </w:r>
    </w:p>
    <w:p w14:paraId="66D8B981" w14:textId="088C383E" w:rsidR="00E05532" w:rsidRPr="00644990" w:rsidRDefault="00105F6C" w:rsidP="00EB3CC8">
      <w:pPr>
        <w:tabs>
          <w:tab w:val="left" w:pos="1134"/>
        </w:tabs>
        <w:spacing w:before="120" w:after="120"/>
        <w:ind w:firstLine="720"/>
        <w:jc w:val="both"/>
        <w:textAlignment w:val="baseline"/>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lang w:val="en-US"/>
        </w:rPr>
        <w:t>b)</w:t>
      </w:r>
      <w:r w:rsidR="00E05532" w:rsidRPr="00644990">
        <w:rPr>
          <w:rFonts w:ascii="Times New Roman" w:hAnsi="Times New Roman" w:cs="Times New Roman"/>
          <w:bCs/>
          <w:color w:val="auto"/>
          <w:sz w:val="28"/>
          <w:szCs w:val="28"/>
          <w:lang w:val="en-US"/>
        </w:rPr>
        <w:t xml:space="preserve"> Sửa đổi, bổ sung tiết 3 điểm c khoản 4 Điều 37 như sau:</w:t>
      </w:r>
    </w:p>
    <w:p w14:paraId="23517B28" w14:textId="6D0776DF" w:rsidR="00E05532" w:rsidRPr="00644990" w:rsidRDefault="00E05532"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w:t>
      </w:r>
      <w:r w:rsidR="00482234">
        <w:rPr>
          <w:rFonts w:ascii="Times New Roman" w:hAnsi="Times New Roman" w:cs="Times New Roman"/>
          <w:bCs/>
          <w:color w:val="auto"/>
          <w:sz w:val="28"/>
          <w:szCs w:val="28"/>
          <w:lang w:val="pt-BR"/>
        </w:rPr>
        <w:t xml:space="preserve"> </w:t>
      </w:r>
      <w:r w:rsidRPr="00644990">
        <w:rPr>
          <w:rFonts w:ascii="Times New Roman" w:hAnsi="Times New Roman" w:cs="Times New Roman"/>
          <w:bCs/>
          <w:color w:val="auto"/>
          <w:sz w:val="28"/>
          <w:szCs w:val="28"/>
          <w:lang w:val="pt-BR"/>
        </w:rPr>
        <w:t>Phê duyệt, không phê duyệt thay đổi lớn giấy đăng ký lưu hành thuốc đối với nội dung thay đổi về chỉ định, liều dùng, đối tượng dùng thuốc (trừ trường hợp thay đổi theo biệt dược gốc đã được cấp giấy đăng ký lưu hành tại Việt Nam thì không yêu cầu phải trình Hội đồng);”</w:t>
      </w:r>
    </w:p>
    <w:p w14:paraId="07EE7996" w14:textId="50DEFFC6" w:rsidR="00FE0772" w:rsidRPr="00644990" w:rsidRDefault="00AA50AA" w:rsidP="00EB3CC8">
      <w:pPr>
        <w:pStyle w:val="ListParagraph"/>
        <w:numPr>
          <w:ilvl w:val="0"/>
          <w:numId w:val="1"/>
        </w:numPr>
        <w:tabs>
          <w:tab w:val="left" w:pos="1134"/>
        </w:tabs>
        <w:spacing w:before="120" w:after="120"/>
        <w:ind w:left="0" w:firstLine="720"/>
        <w:rPr>
          <w:rFonts w:ascii="Times New Roman" w:hAnsi="Times New Roman" w:cs="Times New Roman"/>
          <w:bCs/>
          <w:sz w:val="28"/>
          <w:szCs w:val="28"/>
          <w:lang w:val="pt-BR"/>
        </w:rPr>
      </w:pPr>
      <w:r w:rsidRPr="00644990">
        <w:rPr>
          <w:rFonts w:ascii="Times New Roman" w:hAnsi="Times New Roman" w:cs="Times New Roman"/>
          <w:bCs/>
          <w:sz w:val="28"/>
          <w:szCs w:val="28"/>
          <w:lang w:val="pt-BR"/>
        </w:rPr>
        <w:t>Sửa đổi, bổ sung</w:t>
      </w:r>
      <w:r w:rsidR="000C0196" w:rsidRPr="00644990">
        <w:rPr>
          <w:rFonts w:ascii="Times New Roman" w:hAnsi="Times New Roman" w:cs="Times New Roman"/>
          <w:bCs/>
          <w:sz w:val="28"/>
          <w:szCs w:val="28"/>
          <w:lang w:val="pt-BR"/>
        </w:rPr>
        <w:t xml:space="preserve"> khoản 2 Điều 37,</w:t>
      </w:r>
      <w:r w:rsidRPr="00644990">
        <w:rPr>
          <w:rFonts w:ascii="Times New Roman" w:hAnsi="Times New Roman" w:cs="Times New Roman"/>
          <w:bCs/>
          <w:sz w:val="28"/>
          <w:szCs w:val="28"/>
          <w:lang w:val="pt-BR"/>
        </w:rPr>
        <w:t xml:space="preserve"> điểm a khoản 1 Điề</w:t>
      </w:r>
      <w:r w:rsidR="00136213" w:rsidRPr="00644990">
        <w:rPr>
          <w:rFonts w:ascii="Times New Roman" w:hAnsi="Times New Roman" w:cs="Times New Roman"/>
          <w:bCs/>
          <w:sz w:val="28"/>
          <w:szCs w:val="28"/>
          <w:lang w:val="pt-BR"/>
        </w:rPr>
        <w:t>u 38, điểm a khoản 1 Điều 39:</w:t>
      </w:r>
    </w:p>
    <w:p w14:paraId="5C388CC3" w14:textId="4349CCFD" w:rsidR="000C0196" w:rsidRPr="00644990" w:rsidRDefault="00105F6C"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a)</w:t>
      </w:r>
      <w:r w:rsidR="00136213" w:rsidRPr="00644990">
        <w:rPr>
          <w:rFonts w:ascii="Times New Roman" w:hAnsi="Times New Roman" w:cs="Times New Roman"/>
          <w:bCs/>
          <w:color w:val="auto"/>
          <w:sz w:val="28"/>
          <w:szCs w:val="28"/>
          <w:lang w:val="pt-BR"/>
        </w:rPr>
        <w:t xml:space="preserve"> </w:t>
      </w:r>
      <w:r w:rsidR="000C0196" w:rsidRPr="00644990">
        <w:rPr>
          <w:rFonts w:ascii="Times New Roman" w:hAnsi="Times New Roman" w:cs="Times New Roman"/>
          <w:bCs/>
          <w:color w:val="auto"/>
          <w:sz w:val="28"/>
          <w:szCs w:val="28"/>
          <w:lang w:val="pt-BR"/>
        </w:rPr>
        <w:t>Sau khi nhận được đầy đủ hồ sơ, Cục Quản lý Dược trả cho cơ sở đăng ký phiếu tiếp nhận hồ sơ theo Mẫu số 12/TT ban hành kèm theo Thông tư này. Đối với trường hợp quy định tại điểm k khoản 4 Điều 23, Cục Quản lý Dược tiếp nhận hồ sơ mà không bắt buộc phải nộp CPP tại thời điểm nộp.</w:t>
      </w:r>
    </w:p>
    <w:p w14:paraId="62BB30FA" w14:textId="599940AD" w:rsidR="00136213" w:rsidRPr="00644990" w:rsidRDefault="000C0196"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 xml:space="preserve">b) </w:t>
      </w:r>
      <w:r w:rsidR="00136213" w:rsidRPr="00644990">
        <w:rPr>
          <w:rFonts w:ascii="Times New Roman" w:hAnsi="Times New Roman" w:cs="Times New Roman"/>
          <w:bCs/>
          <w:color w:val="auto"/>
          <w:sz w:val="28"/>
          <w:szCs w:val="28"/>
          <w:lang w:val="pt-BR"/>
        </w:rPr>
        <w:t>Sửa đổi, bổ sung điểm a khoản 1 Điều 38 như sau:</w:t>
      </w:r>
    </w:p>
    <w:p w14:paraId="4252DD95" w14:textId="621C7D6A" w:rsidR="00AA50AA" w:rsidRPr="00644990" w:rsidRDefault="00136213"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 xml:space="preserve"> </w:t>
      </w:r>
      <w:r w:rsidR="00AA50AA" w:rsidRPr="00644990">
        <w:rPr>
          <w:rFonts w:ascii="Times New Roman" w:hAnsi="Times New Roman" w:cs="Times New Roman"/>
          <w:bCs/>
          <w:color w:val="auto"/>
          <w:sz w:val="28"/>
          <w:szCs w:val="28"/>
          <w:lang w:val="pt-BR"/>
        </w:rPr>
        <w:t>“a) Trong thời hạn 03 tháng kể từ ngày</w:t>
      </w:r>
      <w:r w:rsidR="00CB5605" w:rsidRPr="00644990">
        <w:rPr>
          <w:rFonts w:ascii="Times New Roman" w:hAnsi="Times New Roman" w:cs="Times New Roman"/>
          <w:bCs/>
          <w:color w:val="auto"/>
          <w:sz w:val="28"/>
          <w:szCs w:val="28"/>
          <w:lang w:val="pt-BR"/>
        </w:rPr>
        <w:t xml:space="preserve"> tiếp</w:t>
      </w:r>
      <w:r w:rsidR="00AA50AA" w:rsidRPr="00644990">
        <w:rPr>
          <w:rFonts w:ascii="Times New Roman" w:hAnsi="Times New Roman" w:cs="Times New Roman"/>
          <w:bCs/>
          <w:color w:val="auto"/>
          <w:sz w:val="28"/>
          <w:szCs w:val="28"/>
          <w:lang w:val="pt-BR"/>
        </w:rPr>
        <w:t xml:space="preserve"> nhận hồ sơ, Cục Quản lý Dược tiến hành rà soát, phân loại và gửi hồ sơ cho</w:t>
      </w:r>
      <w:r w:rsidR="00AA50AA" w:rsidRPr="00644990">
        <w:rPr>
          <w:rFonts w:ascii="Times New Roman" w:hAnsi="Times New Roman" w:cs="Times New Roman"/>
          <w:bCs/>
          <w:color w:val="auto"/>
          <w:sz w:val="28"/>
          <w:szCs w:val="28"/>
        </w:rPr>
        <w:t xml:space="preserve"> chuyên gia hoặc các đơn vị thẩm định</w:t>
      </w:r>
      <w:r w:rsidR="00AA50AA" w:rsidRPr="00644990">
        <w:rPr>
          <w:rFonts w:ascii="Times New Roman" w:hAnsi="Times New Roman" w:cs="Times New Roman"/>
          <w:bCs/>
          <w:color w:val="auto"/>
          <w:sz w:val="28"/>
          <w:szCs w:val="28"/>
          <w:lang w:val="pt-BR"/>
        </w:rPr>
        <w:t>.</w:t>
      </w:r>
      <w:r w:rsidR="00846BCD" w:rsidRPr="00644990">
        <w:rPr>
          <w:color w:val="auto"/>
        </w:rPr>
        <w:t xml:space="preserve"> </w:t>
      </w:r>
      <w:r w:rsidR="00846BCD" w:rsidRPr="00644990">
        <w:rPr>
          <w:rFonts w:ascii="Times New Roman" w:hAnsi="Times New Roman" w:cs="Times New Roman"/>
          <w:bCs/>
          <w:color w:val="auto"/>
          <w:sz w:val="28"/>
          <w:szCs w:val="28"/>
          <w:lang w:val="pt-BR"/>
        </w:rPr>
        <w:t>Trong thời hạn 06 tháng kể từ ngày nhận được hồ sơ từ Cục Quản lý Dược, chuyên gia và các đơn vị thẩm định phải hoàn thành biên bản thẩm định và gửi Cục Quản lý Dược tổng hợp, đề xuất ý kiến trên biên bản thẩm định theo quy định tại khoản 4 Điều 37 Thông tư này;</w:t>
      </w:r>
      <w:r w:rsidR="00AA50AA" w:rsidRPr="00644990">
        <w:rPr>
          <w:rFonts w:ascii="Times New Roman" w:hAnsi="Times New Roman" w:cs="Times New Roman"/>
          <w:bCs/>
          <w:color w:val="auto"/>
          <w:sz w:val="28"/>
          <w:szCs w:val="28"/>
          <w:lang w:val="pt-BR"/>
        </w:rPr>
        <w:t>”</w:t>
      </w:r>
    </w:p>
    <w:p w14:paraId="000B7327" w14:textId="59F02F1D" w:rsidR="00136213" w:rsidRPr="00644990" w:rsidRDefault="00733942"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c</w:t>
      </w:r>
      <w:r w:rsidR="00105F6C" w:rsidRPr="00644990">
        <w:rPr>
          <w:rFonts w:ascii="Times New Roman" w:hAnsi="Times New Roman" w:cs="Times New Roman"/>
          <w:bCs/>
          <w:color w:val="auto"/>
          <w:sz w:val="28"/>
          <w:szCs w:val="28"/>
          <w:lang w:val="pt-BR"/>
        </w:rPr>
        <w:t>)</w:t>
      </w:r>
      <w:r w:rsidR="00136213" w:rsidRPr="00644990">
        <w:rPr>
          <w:rFonts w:ascii="Times New Roman" w:hAnsi="Times New Roman" w:cs="Times New Roman"/>
          <w:bCs/>
          <w:color w:val="auto"/>
          <w:sz w:val="28"/>
          <w:szCs w:val="28"/>
          <w:lang w:val="pt-BR"/>
        </w:rPr>
        <w:t xml:space="preserve"> Sửa đổi, bổ sung điểm a khoản 1 Điều 39 như sau:</w:t>
      </w:r>
    </w:p>
    <w:p w14:paraId="524D405C" w14:textId="606A1AE2" w:rsidR="00136213" w:rsidRPr="00644990" w:rsidRDefault="00136213" w:rsidP="00EB3CC8">
      <w:pPr>
        <w:tabs>
          <w:tab w:val="left" w:pos="1134"/>
        </w:tabs>
        <w:spacing w:before="120" w:after="120"/>
        <w:ind w:firstLine="720"/>
        <w:jc w:val="both"/>
        <w:textAlignment w:val="baseline"/>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lang w:val="pt-BR"/>
        </w:rPr>
        <w:t>“a)</w:t>
      </w:r>
      <w:r w:rsidR="00EC6628" w:rsidRPr="00644990">
        <w:rPr>
          <w:rFonts w:ascii="Times New Roman" w:hAnsi="Times New Roman" w:cs="Times New Roman"/>
          <w:bCs/>
          <w:color w:val="auto"/>
          <w:sz w:val="28"/>
          <w:szCs w:val="28"/>
          <w:lang w:val="pt-BR"/>
        </w:rPr>
        <w:t xml:space="preserve"> </w:t>
      </w:r>
      <w:r w:rsidRPr="00644990">
        <w:rPr>
          <w:rFonts w:ascii="Times New Roman" w:hAnsi="Times New Roman" w:cs="Times New Roman"/>
          <w:bCs/>
          <w:color w:val="auto"/>
          <w:sz w:val="28"/>
          <w:szCs w:val="28"/>
          <w:lang w:val="pt-BR"/>
        </w:rPr>
        <w:t xml:space="preserve">Trong thời hạn 10 ngày làm việc kể từ ngày </w:t>
      </w:r>
      <w:r w:rsidR="00CB5605" w:rsidRPr="00644990">
        <w:rPr>
          <w:rFonts w:ascii="Times New Roman" w:hAnsi="Times New Roman" w:cs="Times New Roman"/>
          <w:bCs/>
          <w:color w:val="auto"/>
          <w:sz w:val="28"/>
          <w:szCs w:val="28"/>
          <w:lang w:val="pt-BR"/>
        </w:rPr>
        <w:t xml:space="preserve">tiếp </w:t>
      </w:r>
      <w:r w:rsidRPr="00644990">
        <w:rPr>
          <w:rFonts w:ascii="Times New Roman" w:hAnsi="Times New Roman" w:cs="Times New Roman"/>
          <w:bCs/>
          <w:color w:val="auto"/>
          <w:sz w:val="28"/>
          <w:szCs w:val="28"/>
          <w:lang w:val="pt-BR"/>
        </w:rPr>
        <w:t xml:space="preserve">nhận hồ sơ, Cục Quản lý Dược tiến hành rà soát, phân loại và gửi hồ sơ cho các tiểu ban thẩm định. Trong thời hạn 01 tháng kể từ ngày nhận được hồ sơ từ Cục Quản lý Dược, các tiểu ban thẩm định phải hoàn thành biên bản thẩm định và gửi Cục Quản lý Dược </w:t>
      </w:r>
      <w:r w:rsidRPr="00644990">
        <w:rPr>
          <w:rFonts w:ascii="Times New Roman" w:hAnsi="Times New Roman" w:cs="Times New Roman"/>
          <w:bCs/>
          <w:color w:val="auto"/>
          <w:sz w:val="28"/>
          <w:szCs w:val="28"/>
        </w:rPr>
        <w:t>tổng hợp, kết luận biên bản thẩm định theo quy định tại khoản 4 Điều 37 Thông tư này</w:t>
      </w:r>
      <w:r w:rsidRPr="00644990">
        <w:rPr>
          <w:rFonts w:ascii="Times New Roman" w:hAnsi="Times New Roman" w:cs="Times New Roman"/>
          <w:bCs/>
          <w:color w:val="auto"/>
          <w:sz w:val="28"/>
          <w:szCs w:val="28"/>
          <w:lang w:val="en-US"/>
        </w:rPr>
        <w:t>”</w:t>
      </w:r>
    </w:p>
    <w:p w14:paraId="773DE845" w14:textId="0781649E" w:rsidR="00CD1A02" w:rsidRPr="00644990" w:rsidRDefault="00CD1A02" w:rsidP="00EB3CC8">
      <w:pPr>
        <w:pStyle w:val="ListParagraph"/>
        <w:numPr>
          <w:ilvl w:val="0"/>
          <w:numId w:val="1"/>
        </w:numPr>
        <w:tabs>
          <w:tab w:val="left" w:pos="1134"/>
        </w:tabs>
        <w:spacing w:before="120" w:after="120"/>
        <w:ind w:left="0" w:firstLine="720"/>
        <w:rPr>
          <w:rFonts w:ascii="Times New Roman" w:hAnsi="Times New Roman" w:cs="Times New Roman"/>
          <w:bCs/>
          <w:sz w:val="28"/>
          <w:szCs w:val="28"/>
          <w:lang w:val="pt-BR"/>
        </w:rPr>
      </w:pPr>
      <w:r w:rsidRPr="00644990">
        <w:rPr>
          <w:rFonts w:ascii="Times New Roman" w:hAnsi="Times New Roman" w:cs="Times New Roman"/>
          <w:bCs/>
          <w:sz w:val="28"/>
          <w:szCs w:val="28"/>
          <w:lang w:val="pt-BR"/>
        </w:rPr>
        <w:t>Bổ sung khoản 5 Điều 37 như sau:</w:t>
      </w:r>
    </w:p>
    <w:p w14:paraId="2812BE54" w14:textId="6D4CC1EA" w:rsidR="00CD1A02" w:rsidRPr="00644990" w:rsidRDefault="00CD1A02"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“5. Các trường hợp hồ</w:t>
      </w:r>
      <w:r w:rsidR="00AE4A0B">
        <w:rPr>
          <w:rFonts w:ascii="Times New Roman" w:hAnsi="Times New Roman" w:cs="Times New Roman"/>
          <w:bCs/>
          <w:color w:val="auto"/>
          <w:sz w:val="28"/>
          <w:szCs w:val="28"/>
          <w:lang w:val="pt-BR"/>
        </w:rPr>
        <w:t xml:space="preserve"> sơ </w:t>
      </w:r>
      <w:r w:rsidRPr="00644990">
        <w:rPr>
          <w:rFonts w:ascii="Times New Roman" w:hAnsi="Times New Roman" w:cs="Times New Roman"/>
          <w:bCs/>
          <w:color w:val="auto"/>
          <w:sz w:val="28"/>
          <w:szCs w:val="28"/>
          <w:lang w:val="pt-BR"/>
        </w:rPr>
        <w:t>không dựa trên kết quả thực nghiệm</w:t>
      </w:r>
      <w:r w:rsidR="00AE4A0B">
        <w:rPr>
          <w:rFonts w:ascii="Times New Roman" w:hAnsi="Times New Roman" w:cs="Times New Roman"/>
          <w:bCs/>
          <w:color w:val="auto"/>
          <w:sz w:val="28"/>
          <w:szCs w:val="28"/>
          <w:lang w:val="pt-BR"/>
        </w:rPr>
        <w:t xml:space="preserve">, </w:t>
      </w:r>
      <w:r w:rsidR="00AE4A0B" w:rsidRPr="00AE4A0B">
        <w:rPr>
          <w:rFonts w:ascii="Times New Roman" w:hAnsi="Times New Roman" w:cs="Times New Roman"/>
          <w:bCs/>
          <w:color w:val="auto"/>
          <w:sz w:val="28"/>
          <w:szCs w:val="28"/>
          <w:lang w:val="pt-BR"/>
        </w:rPr>
        <w:t>không cấp giấy đăng ký lưu hành</w:t>
      </w:r>
      <w:r w:rsidRPr="00644990">
        <w:rPr>
          <w:rFonts w:ascii="Times New Roman" w:hAnsi="Times New Roman" w:cs="Times New Roman"/>
          <w:bCs/>
          <w:color w:val="auto"/>
          <w:sz w:val="28"/>
          <w:szCs w:val="28"/>
          <w:lang w:val="pt-BR"/>
        </w:rPr>
        <w:t>:</w:t>
      </w:r>
    </w:p>
    <w:p w14:paraId="721C6A10" w14:textId="77777777" w:rsidR="00CD1A02" w:rsidRPr="00644990" w:rsidRDefault="00CD1A02"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a) Dữ liệu cung cấp trong hồ sơ là dữ liệu sao chép thông tin của cơ sở đăng ký, sản xuất khác hoặc không dựa trên thực tế nghiên cứu của nhà sản xuất.</w:t>
      </w:r>
    </w:p>
    <w:p w14:paraId="471DE7F1" w14:textId="77777777" w:rsidR="00CD1A02" w:rsidRPr="00644990" w:rsidRDefault="00CD1A02"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b) Hồ sơ không có tài liệu quan trọng để kiểm soát chất lượng thuốc theo quy định của ACTD/ACTR, cụ thể:</w:t>
      </w:r>
    </w:p>
    <w:p w14:paraId="6157D367" w14:textId="77777777" w:rsidR="00CD1A02" w:rsidRPr="00644990" w:rsidRDefault="00CD1A02"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 Thẩm định quy trình sản xuất thuốc thành phẩm.</w:t>
      </w:r>
    </w:p>
    <w:p w14:paraId="015601DF" w14:textId="77777777" w:rsidR="00CD1A02" w:rsidRPr="00644990" w:rsidRDefault="00CD1A02"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lastRenderedPageBreak/>
        <w:t>- Thẩm định phương pháp phân tích thuốc thành phẩm.</w:t>
      </w:r>
    </w:p>
    <w:p w14:paraId="5B926741" w14:textId="77777777" w:rsidR="00CD1A02" w:rsidRPr="00644990" w:rsidRDefault="00CD1A02"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 Độ ổn định thuốc thành phẩm.</w:t>
      </w:r>
    </w:p>
    <w:p w14:paraId="1A901F01" w14:textId="77777777" w:rsidR="00CD1A02" w:rsidRPr="00644990" w:rsidRDefault="00CD1A02"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c) Giả mạo hồ sơ, tài liệu của cơ quan, tổ chức có thẩm quyền và tổ chức, cá nhân khác.</w:t>
      </w:r>
    </w:p>
    <w:p w14:paraId="26022801" w14:textId="77777777" w:rsidR="00CD1A02" w:rsidRPr="00644990" w:rsidRDefault="00CD1A02"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d) Sản xuất theo hình thức mượn giấy phép (loan license).</w:t>
      </w:r>
    </w:p>
    <w:p w14:paraId="3BC58282" w14:textId="77777777" w:rsidR="00CD1A02" w:rsidRPr="00644990" w:rsidRDefault="00CD1A02"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đ) Phiếu kiểm nghiệm không đúng với mẫu thuốc, dược chất đăng ký lưu hành.</w:t>
      </w:r>
    </w:p>
    <w:p w14:paraId="232C8E65" w14:textId="77777777" w:rsidR="00CD1A02" w:rsidRPr="00644990" w:rsidRDefault="00CD1A02"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e) Quy trình phân tích không khả thi (căn cứ vào kết quả thẩm định trên hồ sơ hoặc kết quả gửi thẩm định lại bằng thực nghiệm tại Viện Kiểm nghiệm thuốc Trung ương/Viện Kiểm nghiệm thuốc TP.Hồ Chí Minh).</w:t>
      </w:r>
    </w:p>
    <w:p w14:paraId="7F5F7202" w14:textId="77777777" w:rsidR="00CD1A02" w:rsidRPr="00644990" w:rsidRDefault="00CD1A02"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g) Tên dược chất, dạng muối hoặc dẫn chất của dược chất trong hồ sơ nghiên cứu độ ổn định, hồ sơ tiêu chuẩn chất lượng dược chất khác với đơn đăng ký và/hoặc CPP.</w:t>
      </w:r>
    </w:p>
    <w:p w14:paraId="0BA5B536" w14:textId="77777777" w:rsidR="00CD1A02" w:rsidRPr="00644990" w:rsidRDefault="00CD1A02"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h) Thông tin trong phần S (Dược chất) không đúng là thông tin về dược chất (dẫn xuất, dạng muối...), bán thành phẩm (pellet, hạt compact, hỗn hợp trộn sẵn...) được sử dụng trong phần P (Thành phẩm).</w:t>
      </w:r>
    </w:p>
    <w:p w14:paraId="6F257D1B" w14:textId="77777777" w:rsidR="00CD1A02" w:rsidRPr="00644990" w:rsidRDefault="00CD1A02"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i) Công thức lô sản xuất không đúng với công thức trong CPP và/hoặc đơn đăng ký.</w:t>
      </w:r>
    </w:p>
    <w:p w14:paraId="0C3D6042" w14:textId="77777777" w:rsidR="00CD1A02" w:rsidRPr="00644990" w:rsidRDefault="00CD1A02"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k) Qui trình sản xuất không khả thi hoặc không phù hợp với công thức lô sản xuất.</w:t>
      </w:r>
    </w:p>
    <w:p w14:paraId="29A289BD" w14:textId="77777777" w:rsidR="00CD1A02" w:rsidRPr="00644990" w:rsidRDefault="00CD1A02"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l) Cỡ lô sản xuất không phù hợp với trang thiết bị.</w:t>
      </w:r>
    </w:p>
    <w:p w14:paraId="3E533D0C" w14:textId="5B8ACF41" w:rsidR="00CD1A02" w:rsidRPr="00644990" w:rsidRDefault="00CD1A02"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m) Các trường hợp khác theo tổng hợp, hướng dẫn bằng văn bản của Cục Quản lý Dược.</w:t>
      </w:r>
    </w:p>
    <w:p w14:paraId="78AAF52B" w14:textId="231C0B55" w:rsidR="009A3D73" w:rsidRPr="00644990" w:rsidRDefault="009A3D73" w:rsidP="00EB3CC8">
      <w:pPr>
        <w:pStyle w:val="ListParagraph"/>
        <w:numPr>
          <w:ilvl w:val="0"/>
          <w:numId w:val="1"/>
        </w:numPr>
        <w:tabs>
          <w:tab w:val="left" w:pos="1134"/>
        </w:tabs>
        <w:spacing w:before="120" w:after="120"/>
        <w:ind w:left="0" w:firstLine="720"/>
        <w:rPr>
          <w:rFonts w:ascii="Times New Roman" w:hAnsi="Times New Roman" w:cs="Times New Roman"/>
          <w:bCs/>
          <w:sz w:val="28"/>
          <w:szCs w:val="28"/>
          <w:lang w:val="pt-BR"/>
        </w:rPr>
      </w:pPr>
      <w:r w:rsidRPr="00644990">
        <w:rPr>
          <w:rFonts w:ascii="Times New Roman" w:hAnsi="Times New Roman" w:cs="Times New Roman"/>
          <w:bCs/>
          <w:sz w:val="28"/>
          <w:szCs w:val="28"/>
          <w:lang w:val="pt-BR"/>
        </w:rPr>
        <w:t xml:space="preserve">Sửa đổi, bổ sung khoản 2 Điều 38, khoản 2 Điều 39, khoản 4 điều 40 </w:t>
      </w:r>
      <w:r w:rsidR="00F171F4" w:rsidRPr="00644990">
        <w:rPr>
          <w:rFonts w:ascii="Times New Roman" w:hAnsi="Times New Roman" w:cs="Times New Roman"/>
          <w:bCs/>
          <w:sz w:val="28"/>
          <w:szCs w:val="28"/>
          <w:lang w:val="pt-BR"/>
        </w:rPr>
        <w:t xml:space="preserve">trường hợp nộp thông báo về Cục quản lý Dược về hồ sơ đã nộp và đang trong quá trình thẩm định </w:t>
      </w:r>
      <w:r w:rsidRPr="00644990">
        <w:rPr>
          <w:rFonts w:ascii="Times New Roman" w:hAnsi="Times New Roman" w:cs="Times New Roman"/>
          <w:bCs/>
          <w:sz w:val="28"/>
          <w:szCs w:val="28"/>
          <w:lang w:val="pt-BR"/>
        </w:rPr>
        <w:t>như sau:</w:t>
      </w:r>
    </w:p>
    <w:p w14:paraId="518C61BD" w14:textId="597269B5" w:rsidR="009A3D73" w:rsidRPr="00644990" w:rsidRDefault="00631F22" w:rsidP="00EB3CC8">
      <w:pPr>
        <w:tabs>
          <w:tab w:val="left" w:pos="1134"/>
        </w:tabs>
        <w:spacing w:before="120" w:after="120"/>
        <w:ind w:firstLine="720"/>
        <w:jc w:val="both"/>
        <w:rPr>
          <w:rFonts w:ascii="Times New Roman" w:hAnsi="Times New Roman" w:cs="Times New Roman"/>
          <w:bCs/>
          <w:color w:val="auto"/>
          <w:sz w:val="28"/>
          <w:szCs w:val="28"/>
        </w:rPr>
      </w:pPr>
      <w:r w:rsidRPr="00644990">
        <w:rPr>
          <w:rFonts w:ascii="Times New Roman" w:hAnsi="Times New Roman" w:cs="Times New Roman"/>
          <w:bCs/>
          <w:color w:val="auto"/>
          <w:sz w:val="28"/>
          <w:szCs w:val="28"/>
          <w:lang w:val="pt-BR"/>
        </w:rPr>
        <w:t>“</w:t>
      </w:r>
      <w:r w:rsidR="009A3D73" w:rsidRPr="00644990">
        <w:rPr>
          <w:rFonts w:ascii="Times New Roman" w:hAnsi="Times New Roman" w:cs="Times New Roman"/>
          <w:bCs/>
          <w:color w:val="auto"/>
          <w:sz w:val="28"/>
          <w:szCs w:val="28"/>
          <w:lang w:val="pt-BR"/>
        </w:rPr>
        <w:t>Cơ sở đăng ký được phép thông báo bằng văn bản về Cục Quản lý Dược về hồ sơ đăng ký đã nộp và đang trong thời gian thẩm định</w:t>
      </w:r>
      <w:r w:rsidR="009A3D73" w:rsidRPr="00644990">
        <w:rPr>
          <w:rFonts w:ascii="Times New Roman" w:hAnsi="Times New Roman" w:cs="Times New Roman"/>
          <w:bCs/>
          <w:color w:val="auto"/>
          <w:sz w:val="28"/>
          <w:szCs w:val="28"/>
        </w:rPr>
        <w:t xml:space="preserve"> trong các trường hợp sau:</w:t>
      </w:r>
    </w:p>
    <w:p w14:paraId="118E77E3" w14:textId="77777777" w:rsidR="009A3D73" w:rsidRPr="00644990" w:rsidRDefault="009A3D73" w:rsidP="00EB3CC8">
      <w:pPr>
        <w:tabs>
          <w:tab w:val="left" w:pos="1134"/>
        </w:tabs>
        <w:spacing w:before="120" w:after="120"/>
        <w:ind w:firstLine="720"/>
        <w:jc w:val="both"/>
        <w:rPr>
          <w:rFonts w:ascii="Times New Roman" w:hAnsi="Times New Roman" w:cs="Times New Roman"/>
          <w:bCs/>
          <w:color w:val="auto"/>
          <w:sz w:val="28"/>
          <w:szCs w:val="28"/>
        </w:rPr>
      </w:pPr>
      <w:r w:rsidRPr="00644990">
        <w:rPr>
          <w:rFonts w:ascii="Times New Roman" w:hAnsi="Times New Roman" w:cs="Times New Roman"/>
          <w:bCs/>
          <w:color w:val="auto"/>
          <w:sz w:val="28"/>
          <w:szCs w:val="28"/>
        </w:rPr>
        <w:t>+</w:t>
      </w:r>
      <w:r w:rsidRPr="00644990">
        <w:rPr>
          <w:rFonts w:ascii="Times New Roman" w:hAnsi="Times New Roman" w:cs="Times New Roman"/>
          <w:bCs/>
          <w:color w:val="auto"/>
          <w:sz w:val="28"/>
          <w:szCs w:val="28"/>
          <w:lang w:val="pt-BR"/>
        </w:rPr>
        <w:t xml:space="preserve"> Cậ</w:t>
      </w:r>
      <w:r w:rsidR="00533A91" w:rsidRPr="00644990">
        <w:rPr>
          <w:rFonts w:ascii="Times New Roman" w:hAnsi="Times New Roman" w:cs="Times New Roman"/>
          <w:bCs/>
          <w:color w:val="auto"/>
          <w:sz w:val="28"/>
          <w:szCs w:val="28"/>
          <w:lang w:val="pt-BR"/>
        </w:rPr>
        <w:t>p nhậ</w:t>
      </w:r>
      <w:r w:rsidRPr="00644990">
        <w:rPr>
          <w:rFonts w:ascii="Times New Roman" w:hAnsi="Times New Roman" w:cs="Times New Roman"/>
          <w:bCs/>
          <w:color w:val="auto"/>
          <w:sz w:val="28"/>
          <w:szCs w:val="28"/>
          <w:lang w:val="pt-BR"/>
        </w:rPr>
        <w:t>t thông tin liên quan đến an toàn, hiệu quả của thuốc so với hồ sơ đã nộp.</w:t>
      </w:r>
    </w:p>
    <w:p w14:paraId="219A0C58" w14:textId="77777777" w:rsidR="009A3D73" w:rsidRPr="00644990" w:rsidRDefault="009A3D73" w:rsidP="00EB3CC8">
      <w:pPr>
        <w:tabs>
          <w:tab w:val="left" w:pos="1134"/>
        </w:tabs>
        <w:spacing w:before="120" w:after="120"/>
        <w:ind w:firstLine="720"/>
        <w:jc w:val="both"/>
        <w:textAlignment w:val="baseline"/>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rPr>
        <w:t>+ Cập nhật thông tin liên quan đến giấy tờ pháp lý của cơ sở đăng ký, cơ sở sản xuất thuốc so với hồ sơ đã nộ</w:t>
      </w:r>
      <w:r w:rsidR="00631F22" w:rsidRPr="00644990">
        <w:rPr>
          <w:rFonts w:ascii="Times New Roman" w:hAnsi="Times New Roman" w:cs="Times New Roman"/>
          <w:bCs/>
          <w:color w:val="auto"/>
          <w:sz w:val="28"/>
          <w:szCs w:val="28"/>
        </w:rPr>
        <w:t>p”</w:t>
      </w:r>
    </w:p>
    <w:p w14:paraId="501401E2" w14:textId="3EAEB2BE" w:rsidR="00F505C8" w:rsidRPr="00644990" w:rsidRDefault="00F505C8" w:rsidP="00EB3CC8">
      <w:pPr>
        <w:pStyle w:val="ListParagraph"/>
        <w:numPr>
          <w:ilvl w:val="0"/>
          <w:numId w:val="1"/>
        </w:numPr>
        <w:tabs>
          <w:tab w:val="left" w:pos="1134"/>
        </w:tabs>
        <w:spacing w:before="120" w:after="120"/>
        <w:ind w:left="0" w:firstLine="720"/>
        <w:rPr>
          <w:rFonts w:ascii="Times New Roman" w:hAnsi="Times New Roman" w:cs="Times New Roman"/>
          <w:bCs/>
          <w:sz w:val="28"/>
          <w:szCs w:val="28"/>
          <w:lang w:val="pt-BR"/>
        </w:rPr>
      </w:pPr>
      <w:r w:rsidRPr="00644990">
        <w:rPr>
          <w:rFonts w:ascii="Times New Roman" w:hAnsi="Times New Roman" w:cs="Times New Roman"/>
          <w:bCs/>
          <w:sz w:val="28"/>
          <w:szCs w:val="28"/>
          <w:lang w:val="pt-BR"/>
        </w:rPr>
        <w:t>Sửa đổ</w:t>
      </w:r>
      <w:r w:rsidR="003C1F92" w:rsidRPr="00644990">
        <w:rPr>
          <w:rFonts w:ascii="Times New Roman" w:hAnsi="Times New Roman" w:cs="Times New Roman"/>
          <w:bCs/>
          <w:sz w:val="28"/>
          <w:szCs w:val="28"/>
          <w:lang w:val="pt-BR"/>
        </w:rPr>
        <w:t xml:space="preserve">i, bổ sung khoản 3 </w:t>
      </w:r>
      <w:r w:rsidRPr="00644990">
        <w:rPr>
          <w:rFonts w:ascii="Times New Roman" w:hAnsi="Times New Roman" w:cs="Times New Roman"/>
          <w:bCs/>
          <w:sz w:val="28"/>
          <w:szCs w:val="28"/>
          <w:lang w:val="pt-BR"/>
        </w:rPr>
        <w:t xml:space="preserve">Điều 40 như sau: </w:t>
      </w:r>
    </w:p>
    <w:p w14:paraId="14BC3716" w14:textId="1B3FE7DC" w:rsidR="00F505C8" w:rsidRPr="00644990" w:rsidRDefault="00F505C8"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Cơ sở có thể tự thực hiện và chịu hoàn toàn trách nhiệm đối với nội dung thay đổi thông báo do cơ sở đề nghị kể từ ngày ghi trên Phiếu tiếp nhận hồ sơ.</w:t>
      </w:r>
    </w:p>
    <w:p w14:paraId="346EF0D8" w14:textId="316A2F16" w:rsidR="00F505C8" w:rsidRPr="00644990" w:rsidRDefault="00F505C8"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 xml:space="preserve">Trong vòng 15 ngày kể từ ngày ghi trên phiếu tiếp nhận, Cục QLD sẽ xác </w:t>
      </w:r>
      <w:r w:rsidRPr="00644990">
        <w:rPr>
          <w:rFonts w:ascii="Times New Roman" w:hAnsi="Times New Roman" w:cs="Times New Roman"/>
          <w:bCs/>
          <w:color w:val="auto"/>
          <w:sz w:val="28"/>
          <w:szCs w:val="28"/>
          <w:lang w:val="pt-BR"/>
        </w:rPr>
        <w:lastRenderedPageBreak/>
        <w:t>nhận thông báo hợp lệ bằng hình thức công bố trên Trang thông tin điện tử của Cục đối với tất cả các nội dung thay đổi thông báo.</w:t>
      </w:r>
    </w:p>
    <w:p w14:paraId="6CEE5D70" w14:textId="07F2EDE5" w:rsidR="001321E0" w:rsidRPr="00644990" w:rsidRDefault="001321E0" w:rsidP="00EB3CC8">
      <w:pPr>
        <w:pStyle w:val="ListParagraph"/>
        <w:numPr>
          <w:ilvl w:val="0"/>
          <w:numId w:val="1"/>
        </w:numPr>
        <w:tabs>
          <w:tab w:val="left" w:pos="1134"/>
        </w:tabs>
        <w:spacing w:before="120" w:after="120"/>
        <w:ind w:left="0" w:firstLine="720"/>
        <w:rPr>
          <w:rFonts w:ascii="Times New Roman" w:hAnsi="Times New Roman" w:cs="Times New Roman"/>
          <w:bCs/>
          <w:sz w:val="28"/>
          <w:szCs w:val="28"/>
          <w:lang w:val="pt-BR"/>
        </w:rPr>
      </w:pPr>
      <w:r w:rsidRPr="00644990">
        <w:rPr>
          <w:rFonts w:ascii="Times New Roman" w:hAnsi="Times New Roman" w:cs="Times New Roman"/>
          <w:bCs/>
          <w:sz w:val="28"/>
          <w:szCs w:val="28"/>
          <w:lang w:val="pt-BR"/>
        </w:rPr>
        <w:t>Sửa đổi, bổ</w:t>
      </w:r>
      <w:r w:rsidR="0003171A" w:rsidRPr="00644990">
        <w:rPr>
          <w:rFonts w:ascii="Times New Roman" w:hAnsi="Times New Roman" w:cs="Times New Roman"/>
          <w:bCs/>
          <w:sz w:val="28"/>
          <w:szCs w:val="28"/>
          <w:lang w:val="pt-BR"/>
        </w:rPr>
        <w:t xml:space="preserve"> sung điểm</w:t>
      </w:r>
      <w:r w:rsidRPr="00644990">
        <w:rPr>
          <w:rFonts w:ascii="Times New Roman" w:hAnsi="Times New Roman" w:cs="Times New Roman"/>
          <w:bCs/>
          <w:sz w:val="28"/>
          <w:szCs w:val="28"/>
          <w:lang w:val="pt-BR"/>
        </w:rPr>
        <w:t xml:space="preserve"> </w:t>
      </w:r>
      <w:r w:rsidR="0003171A" w:rsidRPr="00644990">
        <w:rPr>
          <w:rFonts w:ascii="Times New Roman" w:hAnsi="Times New Roman" w:cs="Times New Roman"/>
          <w:bCs/>
          <w:sz w:val="28"/>
          <w:szCs w:val="28"/>
          <w:lang w:val="pt-BR"/>
        </w:rPr>
        <w:t>b, d khoản 7 Điều 40</w:t>
      </w:r>
    </w:p>
    <w:p w14:paraId="7394565B" w14:textId="1CC1E576" w:rsidR="0003171A" w:rsidRPr="00644990" w:rsidRDefault="0003171A"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a) Sửa đổi điểm b khoản 7 Điều 40 như sau:</w:t>
      </w:r>
    </w:p>
    <w:p w14:paraId="705A10D2" w14:textId="77777777" w:rsidR="001321E0" w:rsidRPr="00644990" w:rsidRDefault="001321E0"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 Thực hiện việc thay đổi, bổ sung nội dung nhãn, hướng dẫn sử dụng thuốc theo đúng nội dung trong văn bản của Cục Quản lý Dược theo ý kiến của Hội đồng.</w:t>
      </w:r>
    </w:p>
    <w:p w14:paraId="1BB3B589" w14:textId="1D3AEF54" w:rsidR="001321E0" w:rsidRPr="00644990" w:rsidRDefault="0003171A" w:rsidP="00EB3CC8">
      <w:pPr>
        <w:tabs>
          <w:tab w:val="left" w:pos="1134"/>
        </w:tabs>
        <w:spacing w:before="120" w:after="120"/>
        <w:ind w:firstLine="720"/>
        <w:jc w:val="both"/>
        <w:textAlignment w:val="baseline"/>
        <w:rPr>
          <w:rFonts w:ascii="Times New Roman" w:hAnsi="Times New Roman" w:cs="Times New Roman"/>
          <w:bCs/>
          <w:color w:val="auto"/>
          <w:sz w:val="28"/>
          <w:szCs w:val="28"/>
          <w:lang w:val="pt-BR"/>
        </w:rPr>
      </w:pPr>
      <w:r w:rsidRPr="00644990">
        <w:rPr>
          <w:rFonts w:ascii="Times New Roman" w:hAnsi="Times New Roman" w:cs="Times New Roman"/>
          <w:bCs/>
          <w:color w:val="auto"/>
          <w:sz w:val="28"/>
          <w:szCs w:val="28"/>
          <w:lang w:val="pt-BR"/>
        </w:rPr>
        <w:t xml:space="preserve">b) Bãi bỏ </w:t>
      </w:r>
      <w:r w:rsidR="0005286F" w:rsidRPr="00644990">
        <w:rPr>
          <w:rFonts w:ascii="Times New Roman" w:hAnsi="Times New Roman" w:cs="Times New Roman"/>
          <w:bCs/>
          <w:color w:val="auto"/>
          <w:sz w:val="28"/>
          <w:szCs w:val="28"/>
          <w:lang w:val="pt-BR"/>
        </w:rPr>
        <w:t xml:space="preserve">điểm c và </w:t>
      </w:r>
      <w:r w:rsidR="001321E0" w:rsidRPr="00644990">
        <w:rPr>
          <w:rFonts w:ascii="Times New Roman" w:hAnsi="Times New Roman" w:cs="Times New Roman"/>
          <w:bCs/>
          <w:color w:val="auto"/>
          <w:sz w:val="28"/>
          <w:szCs w:val="28"/>
          <w:lang w:val="pt-BR"/>
        </w:rPr>
        <w:t>tiết 5 điểm d khoản 7 Điề</w:t>
      </w:r>
      <w:r w:rsidR="00650892" w:rsidRPr="00644990">
        <w:rPr>
          <w:rFonts w:ascii="Times New Roman" w:hAnsi="Times New Roman" w:cs="Times New Roman"/>
          <w:bCs/>
          <w:color w:val="auto"/>
          <w:sz w:val="28"/>
          <w:szCs w:val="28"/>
          <w:lang w:val="pt-BR"/>
        </w:rPr>
        <w:t>u 40.</w:t>
      </w:r>
    </w:p>
    <w:p w14:paraId="2DD84D62" w14:textId="23E56831" w:rsidR="009A3D73" w:rsidRPr="00644990" w:rsidRDefault="00BC1743" w:rsidP="00EB3CC8">
      <w:pPr>
        <w:pStyle w:val="ListParagraph"/>
        <w:numPr>
          <w:ilvl w:val="0"/>
          <w:numId w:val="1"/>
        </w:numPr>
        <w:tabs>
          <w:tab w:val="left" w:pos="1134"/>
        </w:tabs>
        <w:spacing w:before="120" w:after="120"/>
        <w:ind w:left="0" w:firstLine="720"/>
        <w:rPr>
          <w:rFonts w:ascii="Times New Roman" w:hAnsi="Times New Roman" w:cs="Times New Roman"/>
          <w:bCs/>
          <w:sz w:val="28"/>
          <w:szCs w:val="28"/>
          <w:lang w:val="pt-BR"/>
        </w:rPr>
      </w:pPr>
      <w:r w:rsidRPr="00644990">
        <w:rPr>
          <w:rFonts w:ascii="Times New Roman" w:hAnsi="Times New Roman" w:cs="Times New Roman"/>
          <w:bCs/>
          <w:sz w:val="28"/>
          <w:szCs w:val="28"/>
          <w:lang w:val="pt-BR"/>
        </w:rPr>
        <w:t xml:space="preserve">Sửa đổi, bổ sung khoản 1, khoản 2 Điều 44 như sau: </w:t>
      </w:r>
    </w:p>
    <w:p w14:paraId="5E1D7208" w14:textId="77777777" w:rsidR="00BC1743" w:rsidRPr="00644990" w:rsidRDefault="00BC1743" w:rsidP="00EB3CC8">
      <w:pPr>
        <w:tabs>
          <w:tab w:val="left" w:pos="1134"/>
        </w:tabs>
        <w:spacing w:before="120" w:after="120"/>
        <w:ind w:firstLine="720"/>
        <w:jc w:val="both"/>
        <w:rPr>
          <w:rFonts w:ascii="Times New Roman" w:hAnsi="Times New Roman" w:cs="Times New Roman"/>
          <w:bCs/>
          <w:color w:val="auto"/>
          <w:sz w:val="28"/>
          <w:szCs w:val="28"/>
        </w:rPr>
      </w:pPr>
      <w:r w:rsidRPr="00644990">
        <w:rPr>
          <w:rFonts w:ascii="Times New Roman" w:hAnsi="Times New Roman" w:cs="Times New Roman"/>
          <w:bCs/>
          <w:color w:val="auto"/>
          <w:sz w:val="28"/>
          <w:szCs w:val="28"/>
          <w:lang w:val="pt-BR"/>
        </w:rPr>
        <w:t>“</w:t>
      </w:r>
      <w:r w:rsidRPr="00644990">
        <w:rPr>
          <w:rFonts w:ascii="Times New Roman" w:hAnsi="Times New Roman" w:cs="Times New Roman"/>
          <w:bCs/>
          <w:color w:val="auto"/>
          <w:sz w:val="28"/>
          <w:szCs w:val="28"/>
        </w:rPr>
        <w:t xml:space="preserve">1. </w:t>
      </w:r>
      <w:r w:rsidRPr="00644990">
        <w:rPr>
          <w:rFonts w:ascii="Times New Roman" w:hAnsi="Times New Roman" w:cs="Times New Roman"/>
          <w:bCs/>
          <w:color w:val="auto"/>
          <w:sz w:val="28"/>
          <w:szCs w:val="28"/>
          <w:lang w:val="pt-BR"/>
        </w:rPr>
        <w:t xml:space="preserve">Bộ trưởng Bộ Y tế thành lập Hội đồng tư vấn cấp giấy đăng ký lưu hành thuốc, nguyên liệu làm thuốc. </w:t>
      </w:r>
      <w:r w:rsidRPr="00644990">
        <w:rPr>
          <w:rFonts w:ascii="Times New Roman" w:hAnsi="Times New Roman" w:cs="Times New Roman"/>
          <w:bCs/>
          <w:color w:val="auto"/>
          <w:sz w:val="28"/>
          <w:szCs w:val="28"/>
        </w:rPr>
        <w:t xml:space="preserve">Hội đồng bao gồm các thành viên là các chuyên gia có trình độ chuyên môn và kinh nghiệm phù hợp bảo đảm khả năng thẩm định hồ sơ, phản biện ý kiến của chuyên gia thẩm định và ý kiến đề xuất của Cục Quản lý Dược và tư vấn cho Bộ trưởng </w:t>
      </w:r>
      <w:r w:rsidRPr="00644990">
        <w:rPr>
          <w:rFonts w:ascii="Times New Roman" w:hAnsi="Times New Roman" w:cs="Times New Roman"/>
          <w:bCs/>
          <w:color w:val="auto"/>
          <w:sz w:val="28"/>
          <w:szCs w:val="28"/>
          <w:lang w:val="pt-BR"/>
        </w:rPr>
        <w:t xml:space="preserve">Bộ Y tế hoặc người được Bộ trưởng ủy quyền </w:t>
      </w:r>
      <w:r w:rsidRPr="00644990">
        <w:rPr>
          <w:rFonts w:ascii="Times New Roman" w:hAnsi="Times New Roman" w:cs="Times New Roman"/>
          <w:bCs/>
          <w:color w:val="auto"/>
          <w:sz w:val="28"/>
          <w:szCs w:val="28"/>
        </w:rPr>
        <w:t>các vấn đề liên quan đến pháp chế dược, hồ sơ về chất lượng, an toàn, hiệu quả của thuốc, nguyên liệu làm thuốc.</w:t>
      </w:r>
    </w:p>
    <w:p w14:paraId="2AAC770C" w14:textId="57DE18F6" w:rsidR="00BC1743" w:rsidRPr="00644990" w:rsidRDefault="00BC1743" w:rsidP="00EB3CC8">
      <w:pPr>
        <w:tabs>
          <w:tab w:val="left" w:pos="1134"/>
        </w:tabs>
        <w:spacing w:before="120" w:after="120"/>
        <w:ind w:firstLine="720"/>
        <w:jc w:val="both"/>
        <w:rPr>
          <w:rFonts w:ascii="Times New Roman" w:hAnsi="Times New Roman" w:cs="Times New Roman"/>
          <w:bCs/>
          <w:color w:val="auto"/>
          <w:sz w:val="28"/>
          <w:szCs w:val="28"/>
          <w:lang w:val="en-US"/>
        </w:rPr>
      </w:pPr>
      <w:r w:rsidRPr="00644990">
        <w:rPr>
          <w:rFonts w:ascii="Times New Roman" w:hAnsi="Times New Roman" w:cs="Times New Roman"/>
          <w:bCs/>
          <w:color w:val="auto"/>
          <w:sz w:val="28"/>
          <w:szCs w:val="28"/>
          <w:lang w:val="pt-BR"/>
        </w:rPr>
        <w:t xml:space="preserve">2. </w:t>
      </w:r>
      <w:r w:rsidRPr="00644990">
        <w:rPr>
          <w:rFonts w:ascii="Times New Roman" w:hAnsi="Times New Roman" w:cs="Times New Roman"/>
          <w:bCs/>
          <w:color w:val="auto"/>
          <w:sz w:val="28"/>
          <w:szCs w:val="28"/>
        </w:rPr>
        <w:t xml:space="preserve">Hội đồng có trách nhiệm thẩm định hồ sơ, tư vấn cho Bộ trưởng Bộ Y tế </w:t>
      </w:r>
      <w:r w:rsidRPr="00644990">
        <w:rPr>
          <w:rFonts w:ascii="Times New Roman" w:hAnsi="Times New Roman" w:cs="Times New Roman"/>
          <w:bCs/>
          <w:color w:val="auto"/>
          <w:sz w:val="28"/>
          <w:szCs w:val="28"/>
          <w:lang w:val="pt-BR"/>
        </w:rPr>
        <w:t>hoặc người được Bộ trưởng ủy quyền</w:t>
      </w:r>
      <w:r w:rsidRPr="00644990">
        <w:rPr>
          <w:rFonts w:ascii="Times New Roman" w:hAnsi="Times New Roman" w:cs="Times New Roman"/>
          <w:bCs/>
          <w:color w:val="auto"/>
          <w:sz w:val="28"/>
          <w:szCs w:val="28"/>
        </w:rPr>
        <w:t xml:space="preserve"> trong việc cấp, gia hạn, thay đổi, bổ sung giấy đăng ký lưu hành thuốc, nguyên liệu làm thuốc; cấp phép nhập khẩu thuốc chưa có giấy đăng ký lưu hành tại Việt Nam trên cơ sở ý kiến đề xuất của Cục Quản lý Dược và các vấn đề liên quan do </w:t>
      </w:r>
      <w:r w:rsidRPr="00644990">
        <w:rPr>
          <w:rFonts w:ascii="Times New Roman" w:hAnsi="Times New Roman" w:cs="Times New Roman"/>
          <w:bCs/>
          <w:color w:val="auto"/>
          <w:sz w:val="28"/>
          <w:szCs w:val="28"/>
          <w:lang w:val="pt-BR"/>
        </w:rPr>
        <w:t>Bộ trưởng Bộ Y tế hoặc người được Bộ trưởng ủy quyền</w:t>
      </w:r>
      <w:r w:rsidRPr="00644990">
        <w:rPr>
          <w:rFonts w:ascii="Times New Roman" w:hAnsi="Times New Roman" w:cs="Times New Roman"/>
          <w:bCs/>
          <w:color w:val="auto"/>
          <w:sz w:val="28"/>
          <w:szCs w:val="28"/>
        </w:rPr>
        <w:t xml:space="preserve"> yêu cầu. </w:t>
      </w:r>
      <w:r w:rsidRPr="00644990">
        <w:rPr>
          <w:rFonts w:ascii="Times New Roman" w:hAnsi="Times New Roman" w:cs="Times New Roman"/>
          <w:bCs/>
          <w:color w:val="auto"/>
          <w:sz w:val="28"/>
          <w:szCs w:val="28"/>
          <w:lang w:val="pt-BR"/>
        </w:rPr>
        <w:t>Hội đồng chịu trách nhiệm trước Bộ trưởng Bộ Y tế về các ý kiến thẩm định</w:t>
      </w:r>
      <w:r w:rsidRPr="00644990">
        <w:rPr>
          <w:rFonts w:ascii="Times New Roman" w:hAnsi="Times New Roman" w:cs="Times New Roman"/>
          <w:bCs/>
          <w:color w:val="auto"/>
          <w:sz w:val="28"/>
          <w:szCs w:val="28"/>
        </w:rPr>
        <w:t>, tư vấn.</w:t>
      </w:r>
      <w:r w:rsidR="00CB5120" w:rsidRPr="00644990">
        <w:rPr>
          <w:rFonts w:ascii="Times New Roman" w:hAnsi="Times New Roman" w:cs="Times New Roman"/>
          <w:bCs/>
          <w:color w:val="auto"/>
          <w:sz w:val="28"/>
          <w:szCs w:val="28"/>
          <w:lang w:val="en-US"/>
        </w:rPr>
        <w:t>”</w:t>
      </w:r>
    </w:p>
    <w:p w14:paraId="3B1BF406" w14:textId="18B62BB1" w:rsidR="005D56F0" w:rsidRPr="00644990" w:rsidRDefault="005D56F0" w:rsidP="00EB3CC8">
      <w:pPr>
        <w:pStyle w:val="ListParagraph"/>
        <w:numPr>
          <w:ilvl w:val="0"/>
          <w:numId w:val="1"/>
        </w:numPr>
        <w:tabs>
          <w:tab w:val="left" w:pos="1134"/>
        </w:tabs>
        <w:spacing w:before="120" w:after="120"/>
        <w:ind w:left="0" w:firstLine="720"/>
        <w:rPr>
          <w:rFonts w:ascii="Times New Roman" w:hAnsi="Times New Roman" w:cs="Times New Roman"/>
          <w:bCs/>
          <w:sz w:val="28"/>
          <w:szCs w:val="28"/>
          <w:lang w:val="pt-BR"/>
        </w:rPr>
      </w:pPr>
      <w:r w:rsidRPr="00644990">
        <w:rPr>
          <w:rFonts w:ascii="Times New Roman" w:hAnsi="Times New Roman" w:cs="Times New Roman"/>
          <w:bCs/>
          <w:sz w:val="28"/>
          <w:szCs w:val="28"/>
          <w:lang w:val="pt-BR"/>
        </w:rPr>
        <w:t>Sửa đổi, bổ sung Khoản 6 Điều 48 như sau:</w:t>
      </w:r>
    </w:p>
    <w:p w14:paraId="3A6D4C7E" w14:textId="77777777" w:rsidR="005D56F0" w:rsidRPr="00644990" w:rsidRDefault="005D56F0" w:rsidP="00EB3CC8">
      <w:pPr>
        <w:tabs>
          <w:tab w:val="left" w:pos="1134"/>
        </w:tabs>
        <w:spacing w:before="120" w:after="120"/>
        <w:ind w:firstLine="720"/>
        <w:jc w:val="both"/>
        <w:rPr>
          <w:rFonts w:ascii="Times New Roman" w:hAnsi="Times New Roman" w:cs="Times New Roman"/>
          <w:bCs/>
          <w:color w:val="auto"/>
          <w:spacing w:val="-6"/>
          <w:sz w:val="28"/>
          <w:szCs w:val="28"/>
          <w:lang w:val="pt-BR"/>
        </w:rPr>
      </w:pPr>
      <w:r w:rsidRPr="00644990">
        <w:rPr>
          <w:rFonts w:ascii="Times New Roman" w:hAnsi="Times New Roman" w:cs="Times New Roman"/>
          <w:bCs/>
          <w:color w:val="auto"/>
          <w:spacing w:val="-6"/>
          <w:sz w:val="28"/>
          <w:szCs w:val="28"/>
          <w:lang w:val="pt-BR"/>
        </w:rPr>
        <w:t xml:space="preserve">“6. Không bắt buộc phải có kết quả kiểm tra tính xác thực giấy tờ pháp lý quy định tại điểm a, b khoản 1 Điều 12 Thông tư này trước thời điểm cấp, gia hạn, thay đổi bổ sung giấy đăng ký lưu hành thuốc, trừ trường hợp giấy tờ pháp lý được cấp là bản điện tử không đáp ứng quy định tại khoản 1, các điểm a, b khoản 3 Điều 23 Thông tư này thì phải có kết quả xác thực giấy tờ pháp lý trước thời điểm cấp, gia hạn, thay đổi bổ sung Giấy đăng ký lưu hành thuốc. </w:t>
      </w:r>
    </w:p>
    <w:p w14:paraId="0E1C4E1A" w14:textId="77777777" w:rsidR="005D56F0" w:rsidRPr="00644990" w:rsidRDefault="005D56F0" w:rsidP="00EB3CC8">
      <w:pPr>
        <w:tabs>
          <w:tab w:val="left" w:pos="1134"/>
        </w:tabs>
        <w:spacing w:before="120" w:after="120"/>
        <w:ind w:firstLine="720"/>
        <w:jc w:val="both"/>
        <w:rPr>
          <w:rFonts w:ascii="Times New Roman" w:hAnsi="Times New Roman" w:cs="Times New Roman"/>
          <w:bCs/>
          <w:color w:val="auto"/>
          <w:spacing w:val="-6"/>
          <w:sz w:val="28"/>
          <w:szCs w:val="28"/>
          <w:lang w:val="pt-BR"/>
        </w:rPr>
      </w:pPr>
      <w:r w:rsidRPr="00644990">
        <w:rPr>
          <w:rFonts w:ascii="Times New Roman" w:hAnsi="Times New Roman" w:cs="Times New Roman"/>
          <w:bCs/>
          <w:color w:val="auto"/>
          <w:spacing w:val="-6"/>
          <w:sz w:val="28"/>
          <w:szCs w:val="28"/>
          <w:lang w:val="pt-BR"/>
        </w:rPr>
        <w:t>Trường hợp sau khi thuốc được cấp, gia hạn, thay đổi bổ sung giấy đăng ký lưu hành mà cơ quan ngoại giao hoặc cơ quan có thẩm quyền trong nước, nước ngoài có xác nhận bằng văn bản về việc giấy tờ pháp lý trong hồ sơ đăng ký thuốc, nguyên liệu làm thuốc không bảo đảm tính xác thực, Cục Quản lý Dược xem xét thực hiện việc xử lý theo quy định tại khoản 5 Điều 42 và điểm h khoản 1 Điều 50 Thông tư này.”</w:t>
      </w:r>
    </w:p>
    <w:p w14:paraId="05B0AF75" w14:textId="08784845" w:rsidR="00CB5120" w:rsidRPr="00644990" w:rsidRDefault="00CB5120" w:rsidP="00EB3CC8">
      <w:pPr>
        <w:pStyle w:val="ListParagraph"/>
        <w:numPr>
          <w:ilvl w:val="0"/>
          <w:numId w:val="1"/>
        </w:numPr>
        <w:tabs>
          <w:tab w:val="left" w:pos="1134"/>
        </w:tabs>
        <w:spacing w:before="120" w:after="120"/>
        <w:ind w:left="0" w:firstLine="720"/>
        <w:rPr>
          <w:rFonts w:ascii="Times New Roman" w:hAnsi="Times New Roman" w:cs="Times New Roman"/>
          <w:bCs/>
          <w:sz w:val="28"/>
          <w:szCs w:val="28"/>
        </w:rPr>
      </w:pPr>
      <w:r w:rsidRPr="00644990">
        <w:rPr>
          <w:rFonts w:ascii="Times New Roman" w:hAnsi="Times New Roman" w:cs="Times New Roman"/>
          <w:bCs/>
          <w:sz w:val="28"/>
          <w:szCs w:val="28"/>
        </w:rPr>
        <w:t xml:space="preserve">Sửa đổi biểu mẫu </w:t>
      </w:r>
      <w:r w:rsidR="009A7EBD" w:rsidRPr="00644990">
        <w:rPr>
          <w:rFonts w:ascii="Times New Roman" w:hAnsi="Times New Roman" w:cs="Times New Roman"/>
          <w:bCs/>
          <w:sz w:val="28"/>
          <w:szCs w:val="28"/>
        </w:rPr>
        <w:t xml:space="preserve">06C/TT, 07/TT, bổ sung mẫu 15/TT </w:t>
      </w:r>
      <w:r w:rsidRPr="00644990">
        <w:rPr>
          <w:rFonts w:ascii="Times New Roman" w:hAnsi="Times New Roman" w:cs="Times New Roman"/>
          <w:bCs/>
          <w:sz w:val="28"/>
          <w:szCs w:val="28"/>
        </w:rPr>
        <w:t>theo Phụ lục 1 kèm theo Thông tư này.</w:t>
      </w:r>
    </w:p>
    <w:p w14:paraId="355FCE8B" w14:textId="4201E55B" w:rsidR="00971B80" w:rsidRPr="00644990" w:rsidRDefault="00971B80" w:rsidP="00E93CFB">
      <w:pPr>
        <w:spacing w:before="120" w:after="120"/>
        <w:ind w:firstLine="720"/>
        <w:jc w:val="both"/>
        <w:rPr>
          <w:rFonts w:ascii="Times New Roman" w:hAnsi="Times New Roman" w:cs="Times New Roman"/>
          <w:b/>
          <w:color w:val="auto"/>
          <w:spacing w:val="2"/>
          <w:sz w:val="28"/>
          <w:szCs w:val="28"/>
          <w:lang w:val="it-IT"/>
        </w:rPr>
      </w:pPr>
      <w:r w:rsidRPr="00644990">
        <w:rPr>
          <w:rFonts w:ascii="Times New Roman" w:hAnsi="Times New Roman" w:cs="Times New Roman"/>
          <w:b/>
          <w:color w:val="auto"/>
          <w:spacing w:val="2"/>
          <w:sz w:val="28"/>
          <w:szCs w:val="28"/>
          <w:lang w:val="it-IT"/>
        </w:rPr>
        <w:t xml:space="preserve">Điều </w:t>
      </w:r>
      <w:r w:rsidR="00105F6C" w:rsidRPr="00644990">
        <w:rPr>
          <w:rFonts w:ascii="Times New Roman" w:hAnsi="Times New Roman" w:cs="Times New Roman"/>
          <w:b/>
          <w:color w:val="auto"/>
          <w:spacing w:val="2"/>
          <w:sz w:val="28"/>
          <w:szCs w:val="28"/>
          <w:lang w:val="it-IT"/>
        </w:rPr>
        <w:t>2</w:t>
      </w:r>
      <w:r w:rsidRPr="00644990">
        <w:rPr>
          <w:rFonts w:ascii="Times New Roman" w:hAnsi="Times New Roman" w:cs="Times New Roman"/>
          <w:b/>
          <w:color w:val="auto"/>
          <w:spacing w:val="2"/>
          <w:sz w:val="28"/>
          <w:szCs w:val="28"/>
          <w:lang w:val="it-IT"/>
        </w:rPr>
        <w:t>. Hiệu lực thi hành</w:t>
      </w:r>
    </w:p>
    <w:p w14:paraId="37837367" w14:textId="77777777" w:rsidR="00971B80" w:rsidRPr="00644990" w:rsidRDefault="00971B80" w:rsidP="00E93CFB">
      <w:pPr>
        <w:spacing w:before="120" w:after="120"/>
        <w:ind w:firstLine="720"/>
        <w:jc w:val="both"/>
        <w:rPr>
          <w:rFonts w:ascii="Times New Roman" w:hAnsi="Times New Roman" w:cs="Times New Roman"/>
          <w:color w:val="auto"/>
          <w:spacing w:val="2"/>
          <w:sz w:val="28"/>
          <w:szCs w:val="28"/>
          <w:lang w:val="it-IT"/>
        </w:rPr>
      </w:pPr>
      <w:r w:rsidRPr="00644990">
        <w:rPr>
          <w:rFonts w:ascii="Times New Roman" w:hAnsi="Times New Roman" w:cs="Times New Roman"/>
          <w:color w:val="auto"/>
          <w:spacing w:val="2"/>
          <w:sz w:val="28"/>
          <w:szCs w:val="28"/>
          <w:lang w:val="it-IT"/>
        </w:rPr>
        <w:t>Thông tư này có hiệu lực thi hành từ ngày       tháng     năm     .</w:t>
      </w:r>
    </w:p>
    <w:p w14:paraId="48EF0624" w14:textId="2CF6B6B1" w:rsidR="00971B80" w:rsidRPr="00644990" w:rsidRDefault="00971B80" w:rsidP="00E93CFB">
      <w:pPr>
        <w:spacing w:before="120" w:after="120"/>
        <w:ind w:firstLine="720"/>
        <w:jc w:val="both"/>
        <w:rPr>
          <w:rFonts w:ascii="Times New Roman" w:hAnsi="Times New Roman" w:cs="Times New Roman"/>
          <w:b/>
          <w:color w:val="auto"/>
          <w:spacing w:val="2"/>
          <w:sz w:val="28"/>
          <w:szCs w:val="28"/>
          <w:lang w:val="it-IT"/>
        </w:rPr>
      </w:pPr>
      <w:r w:rsidRPr="00644990">
        <w:rPr>
          <w:rFonts w:ascii="Times New Roman" w:hAnsi="Times New Roman" w:cs="Times New Roman"/>
          <w:b/>
          <w:color w:val="auto"/>
          <w:spacing w:val="2"/>
          <w:sz w:val="28"/>
          <w:szCs w:val="28"/>
          <w:lang w:val="it-IT"/>
        </w:rPr>
        <w:lastRenderedPageBreak/>
        <w:t xml:space="preserve">Điều </w:t>
      </w:r>
      <w:r w:rsidR="00105F6C" w:rsidRPr="00644990">
        <w:rPr>
          <w:rFonts w:ascii="Times New Roman" w:hAnsi="Times New Roman" w:cs="Times New Roman"/>
          <w:b/>
          <w:color w:val="auto"/>
          <w:spacing w:val="2"/>
          <w:sz w:val="28"/>
          <w:szCs w:val="28"/>
          <w:lang w:val="it-IT"/>
        </w:rPr>
        <w:t>3.</w:t>
      </w:r>
      <w:r w:rsidRPr="00644990">
        <w:rPr>
          <w:rFonts w:ascii="Times New Roman" w:hAnsi="Times New Roman" w:cs="Times New Roman"/>
          <w:b/>
          <w:color w:val="auto"/>
          <w:spacing w:val="2"/>
          <w:sz w:val="28"/>
          <w:szCs w:val="28"/>
          <w:lang w:val="it-IT"/>
        </w:rPr>
        <w:t xml:space="preserve"> Quy định chuyển tiếp</w:t>
      </w:r>
    </w:p>
    <w:p w14:paraId="14CB771C" w14:textId="77777777" w:rsidR="00971B80" w:rsidRPr="00644990" w:rsidRDefault="00971B80" w:rsidP="00E93CFB">
      <w:pPr>
        <w:spacing w:before="120" w:after="120"/>
        <w:ind w:firstLine="720"/>
        <w:jc w:val="both"/>
        <w:rPr>
          <w:rFonts w:ascii="Times New Roman" w:hAnsi="Times New Roman" w:cs="Times New Roman"/>
          <w:color w:val="auto"/>
          <w:spacing w:val="2"/>
          <w:sz w:val="28"/>
          <w:szCs w:val="28"/>
          <w:lang w:val="it-IT"/>
        </w:rPr>
      </w:pPr>
      <w:r w:rsidRPr="00644990">
        <w:rPr>
          <w:rFonts w:ascii="Times New Roman" w:hAnsi="Times New Roman" w:cs="Times New Roman"/>
          <w:color w:val="auto"/>
          <w:spacing w:val="2"/>
          <w:sz w:val="28"/>
          <w:szCs w:val="28"/>
          <w:lang w:val="it-IT"/>
        </w:rPr>
        <w:t>Các hồ sơ đã nộp cho cơ quan tiếp nhận hồ sơ trước ngày Thông tư này có hiệu lực nhưng đang trong quá trình giải quyết được áp dụng theo quy định có liên quan tại Thông tư này hoặc các quy định trước ngày Thông tư này có hiệu lực theo hướng thuận tiện cho doanh nghiệp, tổ chức, cá nhân.</w:t>
      </w:r>
    </w:p>
    <w:p w14:paraId="5CA53374" w14:textId="09DE9D58" w:rsidR="00971B80" w:rsidRPr="00644990" w:rsidRDefault="00971B80" w:rsidP="00E93CFB">
      <w:pPr>
        <w:spacing w:before="120" w:after="120"/>
        <w:ind w:firstLine="720"/>
        <w:jc w:val="both"/>
        <w:rPr>
          <w:rFonts w:ascii="Times New Roman" w:hAnsi="Times New Roman" w:cs="Times New Roman"/>
          <w:b/>
          <w:color w:val="auto"/>
          <w:spacing w:val="2"/>
          <w:sz w:val="28"/>
          <w:szCs w:val="28"/>
          <w:lang w:val="it-IT"/>
        </w:rPr>
      </w:pPr>
      <w:r w:rsidRPr="00644990">
        <w:rPr>
          <w:rFonts w:ascii="Times New Roman" w:hAnsi="Times New Roman" w:cs="Times New Roman"/>
          <w:b/>
          <w:color w:val="auto"/>
          <w:spacing w:val="2"/>
          <w:sz w:val="28"/>
          <w:szCs w:val="28"/>
          <w:lang w:val="it-IT"/>
        </w:rPr>
        <w:t xml:space="preserve">Điều </w:t>
      </w:r>
      <w:r w:rsidR="00105F6C" w:rsidRPr="00644990">
        <w:rPr>
          <w:rFonts w:ascii="Times New Roman" w:hAnsi="Times New Roman" w:cs="Times New Roman"/>
          <w:b/>
          <w:color w:val="auto"/>
          <w:spacing w:val="2"/>
          <w:sz w:val="28"/>
          <w:szCs w:val="28"/>
          <w:lang w:val="it-IT"/>
        </w:rPr>
        <w:t>3</w:t>
      </w:r>
      <w:r w:rsidRPr="00644990">
        <w:rPr>
          <w:rFonts w:ascii="Times New Roman" w:hAnsi="Times New Roman" w:cs="Times New Roman"/>
          <w:b/>
          <w:color w:val="auto"/>
          <w:spacing w:val="2"/>
          <w:sz w:val="28"/>
          <w:szCs w:val="28"/>
          <w:lang w:val="it-IT"/>
        </w:rPr>
        <w:t>. Trách nhiệm thi hành</w:t>
      </w:r>
    </w:p>
    <w:p w14:paraId="48B3D184" w14:textId="77777777" w:rsidR="00EE764C" w:rsidRPr="00644990" w:rsidRDefault="00971B80" w:rsidP="00E93CFB">
      <w:pPr>
        <w:spacing w:before="120" w:after="120"/>
        <w:ind w:firstLine="720"/>
        <w:jc w:val="both"/>
        <w:rPr>
          <w:rFonts w:ascii="Times New Roman" w:hAnsi="Times New Roman" w:cs="Times New Roman"/>
          <w:color w:val="auto"/>
          <w:spacing w:val="2"/>
          <w:sz w:val="28"/>
          <w:szCs w:val="28"/>
          <w:lang w:val="it-IT"/>
        </w:rPr>
      </w:pPr>
      <w:r w:rsidRPr="00644990">
        <w:rPr>
          <w:rFonts w:ascii="Times New Roman" w:hAnsi="Times New Roman" w:cs="Times New Roman"/>
          <w:color w:val="auto"/>
          <w:spacing w:val="2"/>
          <w:sz w:val="28"/>
          <w:szCs w:val="28"/>
          <w:lang w:val="it-IT"/>
        </w:rPr>
        <w:t>Vụ trưởng Vụ Pháp chế, Chánh Văn phòng Bộ, Chánh Thanh tra Bộ, Vụ trưởng, Cục trưởng, Tổng Cục trưởng các Vụ, Cục, Tổng cục thuộc Bộ Y tế</w:t>
      </w:r>
      <w:r w:rsidR="00E93CFB" w:rsidRPr="00644990">
        <w:rPr>
          <w:rFonts w:ascii="Times New Roman" w:hAnsi="Times New Roman" w:cs="Times New Roman"/>
          <w:color w:val="auto"/>
          <w:spacing w:val="2"/>
          <w:sz w:val="28"/>
          <w:szCs w:val="28"/>
          <w:lang w:val="it-IT"/>
        </w:rPr>
        <w:t>, Sở Y tế</w:t>
      </w:r>
      <w:r w:rsidRPr="00644990">
        <w:rPr>
          <w:rFonts w:ascii="Times New Roman" w:hAnsi="Times New Roman" w:cs="Times New Roman"/>
          <w:color w:val="auto"/>
          <w:spacing w:val="2"/>
          <w:sz w:val="28"/>
          <w:szCs w:val="28"/>
          <w:lang w:val="it-IT"/>
        </w:rPr>
        <w:t xml:space="preserve"> và các cơ quan, tổ chức, cá nhân có liên quan chịu trách nhiệm thi hành Thông tư này./.</w:t>
      </w:r>
    </w:p>
    <w:tbl>
      <w:tblPr>
        <w:tblW w:w="9790" w:type="dxa"/>
        <w:tblLook w:val="00A0" w:firstRow="1" w:lastRow="0" w:firstColumn="1" w:lastColumn="0" w:noHBand="0" w:noVBand="0"/>
      </w:tblPr>
      <w:tblGrid>
        <w:gridCol w:w="5670"/>
        <w:gridCol w:w="4120"/>
      </w:tblGrid>
      <w:tr w:rsidR="00644990" w:rsidRPr="00644990" w14:paraId="2C2D92D8" w14:textId="77777777" w:rsidTr="00AA5F6F">
        <w:trPr>
          <w:trHeight w:val="5350"/>
        </w:trPr>
        <w:tc>
          <w:tcPr>
            <w:tcW w:w="5670" w:type="dxa"/>
          </w:tcPr>
          <w:p w14:paraId="35798FC4" w14:textId="77777777" w:rsidR="00EE764C" w:rsidRPr="00644990" w:rsidRDefault="00EE764C" w:rsidP="006C3D77">
            <w:pPr>
              <w:rPr>
                <w:rFonts w:ascii="Times New Roman" w:hAnsi="Times New Roman"/>
                <w:b/>
                <w:color w:val="auto"/>
                <w:lang w:val="pt-BR"/>
              </w:rPr>
            </w:pPr>
            <w:r w:rsidRPr="00644990">
              <w:rPr>
                <w:rFonts w:ascii="Times New Roman" w:hAnsi="Times New Roman"/>
                <w:b/>
                <w:i/>
                <w:color w:val="auto"/>
                <w:sz w:val="22"/>
                <w:szCs w:val="22"/>
                <w:lang w:val="pt-BR"/>
              </w:rPr>
              <w:t>Nơi nhận</w:t>
            </w:r>
            <w:r w:rsidRPr="00644990">
              <w:rPr>
                <w:rFonts w:ascii="Times New Roman" w:hAnsi="Times New Roman"/>
                <w:b/>
                <w:i/>
                <w:color w:val="auto"/>
                <w:szCs w:val="22"/>
                <w:lang w:val="pt-BR"/>
              </w:rPr>
              <w:t>:</w:t>
            </w:r>
          </w:p>
          <w:p w14:paraId="138D31BD" w14:textId="77777777" w:rsidR="00EE764C" w:rsidRPr="00644990" w:rsidRDefault="00EE764C" w:rsidP="006C3D77">
            <w:pPr>
              <w:rPr>
                <w:rFonts w:ascii="Times New Roman" w:hAnsi="Times New Roman"/>
                <w:color w:val="auto"/>
                <w:sz w:val="22"/>
                <w:szCs w:val="22"/>
                <w:lang w:val="pt-BR"/>
              </w:rPr>
            </w:pPr>
            <w:r w:rsidRPr="00644990">
              <w:rPr>
                <w:rFonts w:ascii="Times New Roman" w:hAnsi="Times New Roman"/>
                <w:color w:val="auto"/>
                <w:sz w:val="22"/>
                <w:szCs w:val="22"/>
                <w:lang w:val="pt-BR"/>
              </w:rPr>
              <w:t>- Ủy ban về các vấn đề xã hội của Quốc hội;</w:t>
            </w:r>
          </w:p>
          <w:p w14:paraId="2AB9E9D7" w14:textId="77777777" w:rsidR="00EE764C" w:rsidRPr="00644990" w:rsidRDefault="00EE764C" w:rsidP="006C3D77">
            <w:pPr>
              <w:jc w:val="both"/>
              <w:rPr>
                <w:rFonts w:ascii="Times New Roman" w:hAnsi="Times New Roman"/>
                <w:color w:val="auto"/>
                <w:sz w:val="22"/>
                <w:szCs w:val="22"/>
                <w:lang w:val="pt-BR"/>
              </w:rPr>
            </w:pPr>
            <w:r w:rsidRPr="00644990">
              <w:rPr>
                <w:rFonts w:ascii="Times New Roman" w:hAnsi="Times New Roman"/>
                <w:color w:val="auto"/>
                <w:sz w:val="22"/>
                <w:szCs w:val="22"/>
                <w:lang w:val="pt-BR"/>
              </w:rPr>
              <w:t>- VPCP (Phòng Công báo, Cổng thông tin điện tử Chính phủ);</w:t>
            </w:r>
          </w:p>
          <w:p w14:paraId="394CB034" w14:textId="77777777" w:rsidR="00EE764C" w:rsidRPr="00644990" w:rsidRDefault="00EE764C" w:rsidP="006C3D77">
            <w:pPr>
              <w:jc w:val="both"/>
              <w:rPr>
                <w:rFonts w:ascii="Times New Roman" w:hAnsi="Times New Roman"/>
                <w:color w:val="auto"/>
                <w:sz w:val="22"/>
                <w:szCs w:val="22"/>
                <w:lang w:val="pt-BR"/>
              </w:rPr>
            </w:pPr>
            <w:r w:rsidRPr="00644990">
              <w:rPr>
                <w:rFonts w:ascii="Times New Roman" w:hAnsi="Times New Roman"/>
                <w:color w:val="auto"/>
                <w:sz w:val="22"/>
                <w:szCs w:val="22"/>
                <w:lang w:val="pt-BR"/>
              </w:rPr>
              <w:t>- Bộ trưởng Bộ Y tế;</w:t>
            </w:r>
          </w:p>
          <w:p w14:paraId="4E107F3A" w14:textId="77777777" w:rsidR="00EE764C" w:rsidRPr="00644990" w:rsidRDefault="00EE764C" w:rsidP="006C3D77">
            <w:pPr>
              <w:rPr>
                <w:rFonts w:ascii="Times New Roman" w:hAnsi="Times New Roman"/>
                <w:b/>
                <w:color w:val="auto"/>
                <w:sz w:val="22"/>
                <w:szCs w:val="22"/>
                <w:lang w:val="pt-BR"/>
              </w:rPr>
            </w:pPr>
            <w:r w:rsidRPr="00644990">
              <w:rPr>
                <w:rFonts w:ascii="Times New Roman" w:hAnsi="Times New Roman"/>
                <w:color w:val="auto"/>
                <w:sz w:val="22"/>
                <w:szCs w:val="22"/>
                <w:lang w:val="pt-BR"/>
              </w:rPr>
              <w:t>- Các Thứ trưởng Bộ Y tế;</w:t>
            </w:r>
            <w:r w:rsidRPr="00644990">
              <w:rPr>
                <w:rFonts w:ascii="Times New Roman" w:hAnsi="Times New Roman"/>
                <w:color w:val="auto"/>
                <w:sz w:val="22"/>
                <w:szCs w:val="22"/>
                <w:lang w:val="pt-BR"/>
              </w:rPr>
              <w:tab/>
            </w:r>
          </w:p>
          <w:p w14:paraId="69EDA0B8" w14:textId="77777777" w:rsidR="00EE764C" w:rsidRPr="00644990" w:rsidRDefault="00EE764C" w:rsidP="006C3D77">
            <w:pPr>
              <w:rPr>
                <w:rFonts w:ascii="Times New Roman" w:hAnsi="Times New Roman"/>
                <w:color w:val="auto"/>
                <w:sz w:val="22"/>
                <w:szCs w:val="22"/>
                <w:lang w:val="pt-BR"/>
              </w:rPr>
            </w:pPr>
            <w:r w:rsidRPr="00644990">
              <w:rPr>
                <w:rFonts w:ascii="Times New Roman" w:hAnsi="Times New Roman"/>
                <w:color w:val="auto"/>
                <w:sz w:val="22"/>
                <w:szCs w:val="22"/>
                <w:lang w:val="pt-BR"/>
              </w:rPr>
              <w:t>- Bộ Tư pháp (Cục kiểm tra văn bản QPPL);</w:t>
            </w:r>
          </w:p>
          <w:p w14:paraId="5C3BAC14" w14:textId="77777777" w:rsidR="00EE764C" w:rsidRPr="00644990" w:rsidRDefault="00EE764C" w:rsidP="006C3D77">
            <w:pPr>
              <w:rPr>
                <w:rFonts w:ascii="Times New Roman" w:hAnsi="Times New Roman"/>
                <w:color w:val="auto"/>
                <w:sz w:val="22"/>
                <w:szCs w:val="22"/>
                <w:lang w:val="pt-BR"/>
              </w:rPr>
            </w:pPr>
            <w:r w:rsidRPr="00644990">
              <w:rPr>
                <w:rFonts w:ascii="Times New Roman" w:hAnsi="Times New Roman"/>
                <w:color w:val="auto"/>
                <w:sz w:val="22"/>
                <w:szCs w:val="22"/>
                <w:lang w:val="pt-BR"/>
              </w:rPr>
              <w:t>- Bộ Khoa học và Công nghệ;</w:t>
            </w:r>
          </w:p>
          <w:p w14:paraId="7845510E" w14:textId="77777777" w:rsidR="00EE764C" w:rsidRPr="00644990" w:rsidRDefault="00EE764C" w:rsidP="006C3D77">
            <w:pPr>
              <w:rPr>
                <w:rFonts w:ascii="Times New Roman" w:hAnsi="Times New Roman"/>
                <w:color w:val="auto"/>
                <w:sz w:val="22"/>
                <w:szCs w:val="22"/>
                <w:lang w:val="pt-BR"/>
              </w:rPr>
            </w:pPr>
            <w:r w:rsidRPr="00644990">
              <w:rPr>
                <w:rFonts w:ascii="Times New Roman" w:hAnsi="Times New Roman"/>
                <w:color w:val="auto"/>
                <w:sz w:val="22"/>
                <w:szCs w:val="22"/>
                <w:lang w:val="pt-BR"/>
              </w:rPr>
              <w:t>- Bộ Công Thương;</w:t>
            </w:r>
          </w:p>
          <w:p w14:paraId="16438578" w14:textId="77777777" w:rsidR="00EE764C" w:rsidRPr="00644990" w:rsidRDefault="00EE764C" w:rsidP="006C3D77">
            <w:pPr>
              <w:rPr>
                <w:rFonts w:ascii="Times New Roman" w:hAnsi="Times New Roman"/>
                <w:color w:val="auto"/>
                <w:sz w:val="22"/>
                <w:szCs w:val="22"/>
                <w:lang w:val="pt-BR"/>
              </w:rPr>
            </w:pPr>
            <w:r w:rsidRPr="00644990">
              <w:rPr>
                <w:rFonts w:ascii="Times New Roman" w:hAnsi="Times New Roman"/>
                <w:color w:val="auto"/>
                <w:sz w:val="22"/>
                <w:szCs w:val="22"/>
                <w:lang w:val="pt-BR"/>
              </w:rPr>
              <w:t xml:space="preserve">- Bộ Quốc phòng (Cục Quân Y); </w:t>
            </w:r>
            <w:r w:rsidRPr="00644990">
              <w:rPr>
                <w:rFonts w:ascii="Times New Roman" w:hAnsi="Times New Roman"/>
                <w:color w:val="auto"/>
                <w:sz w:val="22"/>
                <w:szCs w:val="22"/>
                <w:lang w:val="pt-BR"/>
              </w:rPr>
              <w:tab/>
            </w:r>
          </w:p>
          <w:p w14:paraId="3763F7FA" w14:textId="77777777" w:rsidR="00EE764C" w:rsidRPr="00644990" w:rsidRDefault="00EE764C" w:rsidP="006C3D77">
            <w:pPr>
              <w:rPr>
                <w:rFonts w:ascii="Times New Roman" w:hAnsi="Times New Roman"/>
                <w:b/>
                <w:color w:val="auto"/>
                <w:sz w:val="22"/>
                <w:szCs w:val="22"/>
                <w:lang w:val="pt-BR"/>
              </w:rPr>
            </w:pPr>
            <w:r w:rsidRPr="00644990">
              <w:rPr>
                <w:rFonts w:ascii="Times New Roman" w:hAnsi="Times New Roman"/>
                <w:color w:val="auto"/>
                <w:sz w:val="22"/>
                <w:szCs w:val="22"/>
                <w:lang w:val="pt-BR"/>
              </w:rPr>
              <w:t>- Bộ Công an (Cục Y tế);</w:t>
            </w:r>
          </w:p>
          <w:p w14:paraId="112D122E" w14:textId="77777777" w:rsidR="00EE764C" w:rsidRPr="00644990" w:rsidRDefault="00EE764C" w:rsidP="006C3D77">
            <w:pPr>
              <w:rPr>
                <w:rFonts w:ascii="Times New Roman" w:hAnsi="Times New Roman"/>
                <w:color w:val="auto"/>
                <w:sz w:val="22"/>
                <w:szCs w:val="22"/>
                <w:lang w:val="pt-BR"/>
              </w:rPr>
            </w:pPr>
            <w:r w:rsidRPr="00644990">
              <w:rPr>
                <w:rFonts w:ascii="Times New Roman" w:hAnsi="Times New Roman"/>
                <w:color w:val="auto"/>
                <w:sz w:val="22"/>
                <w:szCs w:val="22"/>
                <w:lang w:val="pt-BR"/>
              </w:rPr>
              <w:t>- Bộ Giao thông vận tải (Cục Y tế GTVT);</w:t>
            </w:r>
          </w:p>
          <w:p w14:paraId="091F38D2" w14:textId="77777777" w:rsidR="00EE764C" w:rsidRPr="00644990" w:rsidRDefault="00EE764C" w:rsidP="006C3D77">
            <w:pPr>
              <w:rPr>
                <w:rFonts w:ascii="Times New Roman" w:hAnsi="Times New Roman"/>
                <w:color w:val="auto"/>
                <w:sz w:val="22"/>
                <w:szCs w:val="22"/>
                <w:lang w:val="pt-BR"/>
              </w:rPr>
            </w:pPr>
            <w:r w:rsidRPr="00644990">
              <w:rPr>
                <w:rFonts w:ascii="Times New Roman" w:hAnsi="Times New Roman"/>
                <w:color w:val="auto"/>
                <w:sz w:val="22"/>
                <w:szCs w:val="22"/>
                <w:lang w:val="pt-BR"/>
              </w:rPr>
              <w:t>- Bộ Tài chính (Tổng Cục Hải quan) ;</w:t>
            </w:r>
          </w:p>
          <w:p w14:paraId="0DD3760E" w14:textId="77777777" w:rsidR="00EE764C" w:rsidRPr="00644990" w:rsidRDefault="00EE764C" w:rsidP="006C3D77">
            <w:pPr>
              <w:rPr>
                <w:rFonts w:ascii="Times New Roman" w:hAnsi="Times New Roman"/>
                <w:color w:val="auto"/>
                <w:sz w:val="22"/>
                <w:szCs w:val="22"/>
                <w:lang w:val="pt-BR"/>
              </w:rPr>
            </w:pPr>
            <w:r w:rsidRPr="00644990">
              <w:rPr>
                <w:rFonts w:ascii="Times New Roman" w:hAnsi="Times New Roman"/>
                <w:color w:val="auto"/>
                <w:sz w:val="22"/>
                <w:szCs w:val="22"/>
                <w:lang w:val="pt-BR"/>
              </w:rPr>
              <w:t xml:space="preserve">- Các Vụ, Cục, T.tra Bộ Y tế ; </w:t>
            </w:r>
          </w:p>
          <w:p w14:paraId="0464BF8C" w14:textId="77777777" w:rsidR="00EE764C" w:rsidRPr="00644990" w:rsidRDefault="00EE764C" w:rsidP="006C3D77">
            <w:pPr>
              <w:rPr>
                <w:rFonts w:ascii="Times New Roman" w:hAnsi="Times New Roman"/>
                <w:color w:val="auto"/>
                <w:sz w:val="22"/>
                <w:szCs w:val="22"/>
                <w:lang w:val="pt-BR"/>
              </w:rPr>
            </w:pPr>
            <w:r w:rsidRPr="00644990">
              <w:rPr>
                <w:rFonts w:ascii="Times New Roman" w:hAnsi="Times New Roman"/>
                <w:color w:val="auto"/>
                <w:sz w:val="22"/>
                <w:szCs w:val="22"/>
                <w:lang w:val="pt-BR"/>
              </w:rPr>
              <w:t>- Sở Y tế các tỉnh, thành phố trực thuộc TƯ;</w:t>
            </w:r>
          </w:p>
          <w:p w14:paraId="281503C6" w14:textId="77777777" w:rsidR="00EE764C" w:rsidRPr="00644990" w:rsidRDefault="00EE764C" w:rsidP="006C3D77">
            <w:pPr>
              <w:rPr>
                <w:rFonts w:ascii="Times New Roman" w:hAnsi="Times New Roman"/>
                <w:color w:val="auto"/>
                <w:sz w:val="22"/>
                <w:szCs w:val="22"/>
              </w:rPr>
            </w:pPr>
            <w:r w:rsidRPr="00644990">
              <w:rPr>
                <w:rFonts w:ascii="Times New Roman" w:hAnsi="Times New Roman"/>
                <w:color w:val="auto"/>
                <w:sz w:val="22"/>
                <w:szCs w:val="22"/>
              </w:rPr>
              <w:t xml:space="preserve">- Tổng công ty Dược Việt Nam;    </w:t>
            </w:r>
          </w:p>
          <w:p w14:paraId="493E9952" w14:textId="77777777" w:rsidR="00EE764C" w:rsidRPr="00644990" w:rsidRDefault="00EE764C" w:rsidP="006C3D77">
            <w:pPr>
              <w:rPr>
                <w:rFonts w:ascii="Times New Roman" w:hAnsi="Times New Roman"/>
                <w:color w:val="auto"/>
                <w:sz w:val="22"/>
                <w:szCs w:val="22"/>
              </w:rPr>
            </w:pPr>
            <w:r w:rsidRPr="00644990">
              <w:rPr>
                <w:rFonts w:ascii="Times New Roman" w:hAnsi="Times New Roman"/>
                <w:color w:val="auto"/>
                <w:sz w:val="22"/>
                <w:szCs w:val="22"/>
              </w:rPr>
              <w:t xml:space="preserve">- Hiệp hội Doanh nghiệp dược Việt Nam;                                                           </w:t>
            </w:r>
          </w:p>
          <w:p w14:paraId="018CC931" w14:textId="77777777" w:rsidR="00EE764C" w:rsidRPr="00644990" w:rsidRDefault="00EE764C" w:rsidP="006C3D77">
            <w:pPr>
              <w:rPr>
                <w:rFonts w:ascii="Times New Roman" w:hAnsi="Times New Roman"/>
                <w:color w:val="auto"/>
                <w:sz w:val="22"/>
                <w:szCs w:val="22"/>
              </w:rPr>
            </w:pPr>
            <w:r w:rsidRPr="00644990">
              <w:rPr>
                <w:rFonts w:ascii="Times New Roman" w:hAnsi="Times New Roman"/>
                <w:color w:val="auto"/>
                <w:sz w:val="22"/>
                <w:szCs w:val="22"/>
              </w:rPr>
              <w:t>- Hội Dược học Việt Nam;</w:t>
            </w:r>
          </w:p>
          <w:p w14:paraId="110F0D95" w14:textId="77777777" w:rsidR="00EE764C" w:rsidRPr="00644990" w:rsidRDefault="00EE764C" w:rsidP="006C3D77">
            <w:pPr>
              <w:rPr>
                <w:rFonts w:ascii="Times New Roman" w:hAnsi="Times New Roman"/>
                <w:color w:val="auto"/>
                <w:sz w:val="22"/>
                <w:szCs w:val="22"/>
              </w:rPr>
            </w:pPr>
            <w:r w:rsidRPr="00644990">
              <w:rPr>
                <w:rFonts w:ascii="Times New Roman" w:hAnsi="Times New Roman"/>
                <w:color w:val="auto"/>
                <w:sz w:val="22"/>
                <w:szCs w:val="22"/>
              </w:rPr>
              <w:t>- Tổng cục hải quan;</w:t>
            </w:r>
          </w:p>
          <w:p w14:paraId="0988CA20" w14:textId="77777777" w:rsidR="00EE764C" w:rsidRPr="00644990" w:rsidRDefault="00EE764C" w:rsidP="006C3D77">
            <w:pPr>
              <w:rPr>
                <w:rFonts w:ascii="Times New Roman" w:hAnsi="Times New Roman"/>
                <w:color w:val="auto"/>
                <w:sz w:val="22"/>
                <w:szCs w:val="22"/>
              </w:rPr>
            </w:pPr>
            <w:r w:rsidRPr="00644990">
              <w:rPr>
                <w:rFonts w:ascii="Times New Roman" w:hAnsi="Times New Roman"/>
                <w:color w:val="auto"/>
                <w:sz w:val="22"/>
                <w:szCs w:val="22"/>
              </w:rPr>
              <w:t xml:space="preserve">- Cổng thông tin điện tử BYT, Website Cục QLD ;  </w:t>
            </w:r>
          </w:p>
          <w:p w14:paraId="5FBEE70E" w14:textId="77777777" w:rsidR="00EE764C" w:rsidRPr="00644990" w:rsidRDefault="00EE764C" w:rsidP="006C3D77">
            <w:pPr>
              <w:rPr>
                <w:rFonts w:ascii="Times New Roman" w:hAnsi="Times New Roman"/>
                <w:color w:val="auto"/>
                <w:sz w:val="22"/>
                <w:szCs w:val="22"/>
              </w:rPr>
            </w:pPr>
            <w:r w:rsidRPr="00644990">
              <w:rPr>
                <w:rFonts w:ascii="Times New Roman" w:hAnsi="Times New Roman"/>
                <w:color w:val="auto"/>
                <w:sz w:val="22"/>
                <w:szCs w:val="22"/>
              </w:rPr>
              <w:t xml:space="preserve">- Các DN SX, KD thuốc trong nước và nước ngoài; </w:t>
            </w:r>
          </w:p>
          <w:p w14:paraId="39B2F9D6" w14:textId="77777777" w:rsidR="00EE764C" w:rsidRPr="00644990" w:rsidRDefault="00EE764C" w:rsidP="006C3D77">
            <w:pPr>
              <w:rPr>
                <w:rFonts w:ascii="Times New Roman" w:hAnsi="Times New Roman"/>
                <w:color w:val="auto"/>
                <w:sz w:val="22"/>
                <w:szCs w:val="22"/>
              </w:rPr>
            </w:pPr>
            <w:r w:rsidRPr="00644990">
              <w:rPr>
                <w:rFonts w:ascii="Times New Roman" w:hAnsi="Times New Roman"/>
                <w:color w:val="auto"/>
                <w:sz w:val="22"/>
                <w:szCs w:val="22"/>
                <w:lang w:val="fr-FR"/>
              </w:rPr>
              <w:t>- Lưu : VT, PC, QLD (5)</w:t>
            </w:r>
          </w:p>
        </w:tc>
        <w:tc>
          <w:tcPr>
            <w:tcW w:w="4120" w:type="dxa"/>
          </w:tcPr>
          <w:p w14:paraId="22275E8F" w14:textId="77777777" w:rsidR="00EE764C" w:rsidRPr="00644990" w:rsidRDefault="00EE764C" w:rsidP="00AA5F6F">
            <w:pPr>
              <w:jc w:val="center"/>
              <w:rPr>
                <w:rFonts w:ascii="Times New Roman" w:hAnsi="Times New Roman"/>
                <w:b/>
                <w:color w:val="auto"/>
                <w:sz w:val="26"/>
                <w:szCs w:val="26"/>
                <w:lang w:val="pt-BR"/>
              </w:rPr>
            </w:pPr>
            <w:r w:rsidRPr="00644990">
              <w:rPr>
                <w:rFonts w:ascii="Times New Roman" w:hAnsi="Times New Roman"/>
                <w:b/>
                <w:color w:val="auto"/>
                <w:sz w:val="26"/>
                <w:szCs w:val="26"/>
                <w:lang w:val="pt-BR"/>
              </w:rPr>
              <w:t>KT. BỘ TRƯỞNG</w:t>
            </w:r>
          </w:p>
          <w:p w14:paraId="5B63694B" w14:textId="77777777" w:rsidR="00EE764C" w:rsidRPr="00644990" w:rsidRDefault="00EE764C" w:rsidP="00AA5F6F">
            <w:pPr>
              <w:jc w:val="center"/>
              <w:rPr>
                <w:rFonts w:ascii="Times New Roman" w:hAnsi="Times New Roman"/>
                <w:b/>
                <w:color w:val="auto"/>
                <w:sz w:val="26"/>
                <w:szCs w:val="26"/>
                <w:lang w:val="pt-BR"/>
              </w:rPr>
            </w:pPr>
            <w:r w:rsidRPr="00644990">
              <w:rPr>
                <w:rFonts w:ascii="Times New Roman" w:hAnsi="Times New Roman"/>
                <w:b/>
                <w:color w:val="auto"/>
                <w:sz w:val="26"/>
                <w:szCs w:val="26"/>
                <w:lang w:val="pt-BR"/>
              </w:rPr>
              <w:t>THỨ TRƯỞNG</w:t>
            </w:r>
          </w:p>
          <w:p w14:paraId="0FCB37D1" w14:textId="77777777" w:rsidR="00EE764C" w:rsidRPr="00644990" w:rsidRDefault="00AA5F6F" w:rsidP="00AA5F6F">
            <w:pPr>
              <w:jc w:val="center"/>
              <w:rPr>
                <w:rFonts w:ascii="Times New Roman" w:hAnsi="Times New Roman"/>
                <w:b/>
                <w:color w:val="auto"/>
                <w:lang w:val="pt-BR"/>
              </w:rPr>
            </w:pPr>
            <w:r w:rsidRPr="00644990">
              <w:rPr>
                <w:rFonts w:ascii="Times New Roman" w:hAnsi="Times New Roman"/>
                <w:b/>
                <w:color w:val="auto"/>
                <w:lang w:val="pt-BR"/>
              </w:rPr>
              <w:t xml:space="preserve">  </w:t>
            </w:r>
          </w:p>
          <w:p w14:paraId="0229110A" w14:textId="77777777" w:rsidR="00AA5F6F" w:rsidRPr="00644990" w:rsidRDefault="00AA5F6F" w:rsidP="00AA5F6F">
            <w:pPr>
              <w:jc w:val="center"/>
              <w:rPr>
                <w:rFonts w:ascii="Times New Roman" w:hAnsi="Times New Roman"/>
                <w:b/>
                <w:color w:val="auto"/>
                <w:lang w:val="pt-BR"/>
              </w:rPr>
            </w:pPr>
          </w:p>
          <w:p w14:paraId="7C7F6460" w14:textId="77777777" w:rsidR="00AA5F6F" w:rsidRPr="00644990" w:rsidRDefault="00AA5F6F" w:rsidP="00AA5F6F">
            <w:pPr>
              <w:jc w:val="center"/>
              <w:rPr>
                <w:rFonts w:ascii="Times New Roman" w:hAnsi="Times New Roman"/>
                <w:b/>
                <w:color w:val="auto"/>
                <w:lang w:val="pt-BR"/>
              </w:rPr>
            </w:pPr>
          </w:p>
          <w:p w14:paraId="3E3ABC7A" w14:textId="77777777" w:rsidR="00AA5F6F" w:rsidRPr="00644990" w:rsidRDefault="00AA5F6F" w:rsidP="00AA5F6F">
            <w:pPr>
              <w:jc w:val="center"/>
              <w:rPr>
                <w:rFonts w:ascii="Times New Roman" w:hAnsi="Times New Roman"/>
                <w:b/>
                <w:color w:val="auto"/>
                <w:lang w:val="pt-BR"/>
              </w:rPr>
            </w:pPr>
          </w:p>
          <w:p w14:paraId="6E5D59A0" w14:textId="77777777" w:rsidR="00AA5F6F" w:rsidRPr="00644990" w:rsidRDefault="00AA5F6F" w:rsidP="00AA5F6F">
            <w:pPr>
              <w:jc w:val="center"/>
              <w:rPr>
                <w:rFonts w:ascii="Times New Roman" w:hAnsi="Times New Roman"/>
                <w:b/>
                <w:color w:val="auto"/>
                <w:lang w:val="pt-BR"/>
              </w:rPr>
            </w:pPr>
          </w:p>
          <w:p w14:paraId="0E445001" w14:textId="77777777" w:rsidR="00EE764C" w:rsidRPr="00644990" w:rsidRDefault="00EE764C" w:rsidP="00AA5F6F">
            <w:pPr>
              <w:jc w:val="center"/>
              <w:rPr>
                <w:rFonts w:ascii="Times New Roman" w:hAnsi="Times New Roman"/>
                <w:b/>
                <w:color w:val="auto"/>
                <w:lang w:val="pt-BR"/>
              </w:rPr>
            </w:pPr>
          </w:p>
          <w:p w14:paraId="6DBDFA05" w14:textId="77777777" w:rsidR="00EE764C" w:rsidRPr="00644990" w:rsidRDefault="00EE764C" w:rsidP="00AA5F6F">
            <w:pPr>
              <w:jc w:val="center"/>
              <w:rPr>
                <w:rFonts w:ascii="Times New Roman" w:hAnsi="Times New Roman"/>
                <w:b/>
                <w:color w:val="auto"/>
                <w:sz w:val="28"/>
                <w:szCs w:val="28"/>
                <w:lang w:val="it-IT"/>
              </w:rPr>
            </w:pPr>
            <w:r w:rsidRPr="00644990">
              <w:rPr>
                <w:rFonts w:ascii="Times New Roman" w:hAnsi="Times New Roman"/>
                <w:b/>
                <w:color w:val="auto"/>
                <w:sz w:val="28"/>
                <w:szCs w:val="28"/>
                <w:lang w:val="pt-BR"/>
              </w:rPr>
              <w:t>Trương Quốc Cường</w:t>
            </w:r>
          </w:p>
        </w:tc>
      </w:tr>
    </w:tbl>
    <w:p w14:paraId="6183485F" w14:textId="3B90BC52" w:rsidR="00717A9A" w:rsidRPr="00644990" w:rsidRDefault="00717A9A" w:rsidP="00EB3CC8">
      <w:pPr>
        <w:widowControl/>
        <w:jc w:val="both"/>
        <w:rPr>
          <w:rFonts w:ascii="Times New Roman" w:hAnsi="Times New Roman"/>
          <w:color w:val="auto"/>
          <w:lang w:val="pt-BR"/>
        </w:rPr>
      </w:pPr>
    </w:p>
    <w:sectPr w:rsidR="00717A9A" w:rsidRPr="00644990" w:rsidSect="00BE3B38">
      <w:footerReference w:type="default" r:id="rId8"/>
      <w:pgSz w:w="11907" w:h="16840" w:code="9"/>
      <w:pgMar w:top="1134" w:right="1134" w:bottom="1134" w:left="1701" w:header="73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13A36" w14:textId="77777777" w:rsidR="00BE4C2A" w:rsidRDefault="00BE4C2A" w:rsidP="00DB7BDE">
      <w:r>
        <w:separator/>
      </w:r>
    </w:p>
  </w:endnote>
  <w:endnote w:type="continuationSeparator" w:id="0">
    <w:p w14:paraId="03FFC2EA" w14:textId="77777777" w:rsidR="00BE4C2A" w:rsidRDefault="00BE4C2A" w:rsidP="00DB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315012"/>
      <w:docPartObj>
        <w:docPartGallery w:val="Page Numbers (Bottom of Page)"/>
        <w:docPartUnique/>
      </w:docPartObj>
    </w:sdtPr>
    <w:sdtEndPr>
      <w:rPr>
        <w:rFonts w:ascii="Times New Roman" w:hAnsi="Times New Roman" w:cs="Times New Roman"/>
        <w:noProof/>
        <w:sz w:val="28"/>
        <w:szCs w:val="28"/>
      </w:rPr>
    </w:sdtEndPr>
    <w:sdtContent>
      <w:p w14:paraId="697034C8" w14:textId="77777777" w:rsidR="006C3D77" w:rsidRPr="00BE3B38" w:rsidRDefault="006C3D77" w:rsidP="00BE3B38">
        <w:pPr>
          <w:pStyle w:val="Footer"/>
          <w:jc w:val="center"/>
          <w:rPr>
            <w:rFonts w:ascii="Times New Roman" w:hAnsi="Times New Roman" w:cs="Times New Roman"/>
            <w:sz w:val="28"/>
            <w:szCs w:val="28"/>
          </w:rPr>
        </w:pPr>
        <w:r w:rsidRPr="00BE3B38">
          <w:rPr>
            <w:rFonts w:ascii="Times New Roman" w:hAnsi="Times New Roman" w:cs="Times New Roman"/>
            <w:sz w:val="28"/>
            <w:szCs w:val="28"/>
          </w:rPr>
          <w:fldChar w:fldCharType="begin"/>
        </w:r>
        <w:r w:rsidRPr="00BE3B38">
          <w:rPr>
            <w:rFonts w:ascii="Times New Roman" w:hAnsi="Times New Roman" w:cs="Times New Roman"/>
            <w:sz w:val="28"/>
            <w:szCs w:val="28"/>
          </w:rPr>
          <w:instrText xml:space="preserve"> PAGE   \* MERGEFORMAT </w:instrText>
        </w:r>
        <w:r w:rsidRPr="00BE3B38">
          <w:rPr>
            <w:rFonts w:ascii="Times New Roman" w:hAnsi="Times New Roman" w:cs="Times New Roman"/>
            <w:sz w:val="28"/>
            <w:szCs w:val="28"/>
          </w:rPr>
          <w:fldChar w:fldCharType="separate"/>
        </w:r>
        <w:r w:rsidR="00972EF5">
          <w:rPr>
            <w:rFonts w:ascii="Times New Roman" w:hAnsi="Times New Roman" w:cs="Times New Roman"/>
            <w:noProof/>
            <w:sz w:val="28"/>
            <w:szCs w:val="28"/>
          </w:rPr>
          <w:t>12</w:t>
        </w:r>
        <w:r w:rsidRPr="00BE3B38">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421B1" w14:textId="77777777" w:rsidR="00BE4C2A" w:rsidRDefault="00BE4C2A" w:rsidP="00DB7BDE">
      <w:r>
        <w:separator/>
      </w:r>
    </w:p>
  </w:footnote>
  <w:footnote w:type="continuationSeparator" w:id="0">
    <w:p w14:paraId="07F6A058" w14:textId="77777777" w:rsidR="00BE4C2A" w:rsidRDefault="00BE4C2A" w:rsidP="00DB7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decimal"/>
      <w:lvlText w:val="%1."/>
      <w:lvlJc w:val="left"/>
      <w:pPr>
        <w:ind w:hanging="324"/>
      </w:pPr>
      <w:rPr>
        <w:rFonts w:ascii="Arial" w:hAnsi="Arial" w:cs="Arial"/>
        <w:b/>
        <w:bCs/>
        <w:color w:val="231F20"/>
        <w:w w:val="84"/>
        <w:sz w:val="37"/>
        <w:szCs w:val="37"/>
      </w:rPr>
    </w:lvl>
    <w:lvl w:ilvl="1">
      <w:start w:val="1"/>
      <w:numFmt w:val="decimal"/>
      <w:lvlText w:val="%1.%2."/>
      <w:lvlJc w:val="left"/>
      <w:pPr>
        <w:ind w:hanging="524"/>
      </w:pPr>
      <w:rPr>
        <w:rFonts w:ascii="Times New Roman" w:hAnsi="Times New Roman" w:cs="Times New Roman"/>
        <w:b w:val="0"/>
        <w:bCs w:val="0"/>
        <w:color w:val="231F20"/>
        <w:spacing w:val="-2"/>
        <w:w w:val="96"/>
        <w:sz w:val="25"/>
        <w:szCs w:val="2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51664608"/>
    <w:lvl w:ilvl="0">
      <w:start w:val="2"/>
      <w:numFmt w:val="decimal"/>
      <w:lvlText w:val="%1."/>
      <w:lvlJc w:val="left"/>
      <w:pPr>
        <w:ind w:hanging="324"/>
      </w:pPr>
      <w:rPr>
        <w:rFonts w:ascii="Times New Roman" w:hAnsi="Times New Roman" w:cs="Times New Roman" w:hint="default"/>
        <w:b/>
        <w:bCs/>
        <w:color w:val="231F20"/>
        <w:w w:val="84"/>
        <w:sz w:val="28"/>
        <w:szCs w:val="28"/>
      </w:rPr>
    </w:lvl>
    <w:lvl w:ilvl="1">
      <w:start w:val="1"/>
      <w:numFmt w:val="upperLetter"/>
      <w:lvlText w:val="%1.%2."/>
      <w:lvlJc w:val="left"/>
      <w:pPr>
        <w:ind w:hanging="528"/>
      </w:pPr>
      <w:rPr>
        <w:rFonts w:ascii="Times New Roman" w:hAnsi="Times New Roman" w:cs="Times New Roman"/>
        <w:b w:val="0"/>
        <w:bCs w:val="0"/>
        <w:color w:val="231F20"/>
        <w:spacing w:val="-1"/>
        <w:w w:val="96"/>
        <w:sz w:val="25"/>
        <w:szCs w:val="25"/>
      </w:rPr>
    </w:lvl>
    <w:lvl w:ilvl="2">
      <w:start w:val="1"/>
      <w:numFmt w:val="decimal"/>
      <w:lvlText w:val="%1.%2.%3."/>
      <w:lvlJc w:val="left"/>
      <w:pPr>
        <w:ind w:hanging="759"/>
      </w:pPr>
      <w:rPr>
        <w:rFonts w:ascii="Times New Roman" w:hAnsi="Times New Roman" w:cs="Times New Roman"/>
        <w:b w:val="0"/>
        <w:bCs w:val="0"/>
        <w:color w:val="231F20"/>
        <w:spacing w:val="-1"/>
        <w:w w:val="96"/>
        <w:sz w:val="25"/>
        <w:szCs w:val="25"/>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2C60E02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bCs w:val="0"/>
        <w:color w:val="231F20"/>
        <w:w w:val="96"/>
        <w:sz w:val="25"/>
        <w:szCs w:val="25"/>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D30142"/>
    <w:multiLevelType w:val="multilevel"/>
    <w:tmpl w:val="9648E2F2"/>
    <w:lvl w:ilvl="0">
      <w:start w:val="1"/>
      <w:numFmt w:val="decimal"/>
      <w:lvlText w:val="%1."/>
      <w:lvlJc w:val="left"/>
      <w:pPr>
        <w:ind w:hanging="324"/>
      </w:pPr>
      <w:rPr>
        <w:rFonts w:ascii="Times New Roman" w:hAnsi="Times New Roman" w:cs="Times New Roman" w:hint="default"/>
        <w:b/>
        <w:bCs/>
        <w:color w:val="231F20"/>
        <w:w w:val="84"/>
        <w:sz w:val="28"/>
        <w:szCs w:val="28"/>
      </w:rPr>
    </w:lvl>
    <w:lvl w:ilvl="1">
      <w:start w:val="1"/>
      <w:numFmt w:val="decimal"/>
      <w:lvlText w:val="%1.%2."/>
      <w:lvlJc w:val="left"/>
      <w:pPr>
        <w:ind w:hanging="524"/>
      </w:pPr>
      <w:rPr>
        <w:rFonts w:ascii="Times New Roman" w:hAnsi="Times New Roman" w:cs="Times New Roman"/>
        <w:b w:val="0"/>
        <w:bCs w:val="0"/>
        <w:color w:val="231F20"/>
        <w:spacing w:val="-2"/>
        <w:w w:val="96"/>
        <w:sz w:val="25"/>
        <w:szCs w:val="2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1C41265C"/>
    <w:multiLevelType w:val="hybridMultilevel"/>
    <w:tmpl w:val="8E2C9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E2F7D64"/>
    <w:multiLevelType w:val="hybridMultilevel"/>
    <w:tmpl w:val="2006C742"/>
    <w:lvl w:ilvl="0" w:tplc="57F0F498">
      <w:numFmt w:val="bullet"/>
      <w:lvlText w:val="-"/>
      <w:lvlJc w:val="left"/>
      <w:pPr>
        <w:ind w:left="1352"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3BF86AF2"/>
    <w:multiLevelType w:val="hybridMultilevel"/>
    <w:tmpl w:val="B2700D94"/>
    <w:lvl w:ilvl="0" w:tplc="5C84B608">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816D70"/>
    <w:multiLevelType w:val="multilevel"/>
    <w:tmpl w:val="2C60E02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bCs w:val="0"/>
        <w:color w:val="231F20"/>
        <w:w w:val="96"/>
        <w:sz w:val="25"/>
        <w:szCs w:val="25"/>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D56C4"/>
    <w:multiLevelType w:val="hybridMultilevel"/>
    <w:tmpl w:val="C0D2D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7"/>
  </w:num>
  <w:num w:numId="6">
    <w:abstractNumId w:val="3"/>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E9"/>
    <w:rsid w:val="00005FB5"/>
    <w:rsid w:val="00021B64"/>
    <w:rsid w:val="0003171A"/>
    <w:rsid w:val="00035351"/>
    <w:rsid w:val="000500D9"/>
    <w:rsid w:val="0005111A"/>
    <w:rsid w:val="0005286F"/>
    <w:rsid w:val="00066A25"/>
    <w:rsid w:val="000948B1"/>
    <w:rsid w:val="00094B5D"/>
    <w:rsid w:val="000A1058"/>
    <w:rsid w:val="000A393D"/>
    <w:rsid w:val="000B670D"/>
    <w:rsid w:val="000C0196"/>
    <w:rsid w:val="000C7991"/>
    <w:rsid w:val="000D1B72"/>
    <w:rsid w:val="000D6259"/>
    <w:rsid w:val="00105F6C"/>
    <w:rsid w:val="0011104F"/>
    <w:rsid w:val="001321E0"/>
    <w:rsid w:val="001360AE"/>
    <w:rsid w:val="00136213"/>
    <w:rsid w:val="00150C42"/>
    <w:rsid w:val="00167C04"/>
    <w:rsid w:val="001773D3"/>
    <w:rsid w:val="0018363F"/>
    <w:rsid w:val="00196785"/>
    <w:rsid w:val="001A09B9"/>
    <w:rsid w:val="001B7F5B"/>
    <w:rsid w:val="001D5D16"/>
    <w:rsid w:val="001E1DCB"/>
    <w:rsid w:val="001F08E8"/>
    <w:rsid w:val="00204735"/>
    <w:rsid w:val="00212205"/>
    <w:rsid w:val="002139F0"/>
    <w:rsid w:val="00213B1D"/>
    <w:rsid w:val="00214DB8"/>
    <w:rsid w:val="002301C6"/>
    <w:rsid w:val="00253743"/>
    <w:rsid w:val="00260CDD"/>
    <w:rsid w:val="00271CEB"/>
    <w:rsid w:val="00273842"/>
    <w:rsid w:val="00291ABB"/>
    <w:rsid w:val="002927E0"/>
    <w:rsid w:val="00294A1E"/>
    <w:rsid w:val="002B3553"/>
    <w:rsid w:val="002C49D3"/>
    <w:rsid w:val="002E1E0D"/>
    <w:rsid w:val="002F4034"/>
    <w:rsid w:val="002F5859"/>
    <w:rsid w:val="002F7980"/>
    <w:rsid w:val="0031242C"/>
    <w:rsid w:val="003411DE"/>
    <w:rsid w:val="00356B09"/>
    <w:rsid w:val="0038374C"/>
    <w:rsid w:val="00387832"/>
    <w:rsid w:val="003951CE"/>
    <w:rsid w:val="003A7546"/>
    <w:rsid w:val="003B6380"/>
    <w:rsid w:val="003C12E9"/>
    <w:rsid w:val="003C1F92"/>
    <w:rsid w:val="003F19E6"/>
    <w:rsid w:val="004117EB"/>
    <w:rsid w:val="0042530A"/>
    <w:rsid w:val="00425E05"/>
    <w:rsid w:val="00435BA0"/>
    <w:rsid w:val="004606E1"/>
    <w:rsid w:val="004624C1"/>
    <w:rsid w:val="004810D7"/>
    <w:rsid w:val="00482234"/>
    <w:rsid w:val="00490545"/>
    <w:rsid w:val="004950AA"/>
    <w:rsid w:val="00495F9D"/>
    <w:rsid w:val="004B0011"/>
    <w:rsid w:val="004C4FD7"/>
    <w:rsid w:val="004C5489"/>
    <w:rsid w:val="004E754A"/>
    <w:rsid w:val="005160E4"/>
    <w:rsid w:val="005306E3"/>
    <w:rsid w:val="00533A91"/>
    <w:rsid w:val="005425C7"/>
    <w:rsid w:val="005545EE"/>
    <w:rsid w:val="005558E1"/>
    <w:rsid w:val="005602B4"/>
    <w:rsid w:val="0058237B"/>
    <w:rsid w:val="005A1646"/>
    <w:rsid w:val="005A77DC"/>
    <w:rsid w:val="005D16FF"/>
    <w:rsid w:val="005D49C1"/>
    <w:rsid w:val="005D56F0"/>
    <w:rsid w:val="005F369D"/>
    <w:rsid w:val="006053B1"/>
    <w:rsid w:val="00614FD4"/>
    <w:rsid w:val="00631F22"/>
    <w:rsid w:val="00642F1A"/>
    <w:rsid w:val="00644990"/>
    <w:rsid w:val="00650892"/>
    <w:rsid w:val="006629CA"/>
    <w:rsid w:val="00694551"/>
    <w:rsid w:val="006A4931"/>
    <w:rsid w:val="006C3D77"/>
    <w:rsid w:val="006E02D9"/>
    <w:rsid w:val="006F07DE"/>
    <w:rsid w:val="006F0CD4"/>
    <w:rsid w:val="006F6823"/>
    <w:rsid w:val="00717A9A"/>
    <w:rsid w:val="007267D3"/>
    <w:rsid w:val="0073181D"/>
    <w:rsid w:val="00733942"/>
    <w:rsid w:val="007436E9"/>
    <w:rsid w:val="00745D94"/>
    <w:rsid w:val="007547D9"/>
    <w:rsid w:val="00766170"/>
    <w:rsid w:val="00773ABB"/>
    <w:rsid w:val="007914FE"/>
    <w:rsid w:val="00792A29"/>
    <w:rsid w:val="007A0CCD"/>
    <w:rsid w:val="007A7309"/>
    <w:rsid w:val="007C20E9"/>
    <w:rsid w:val="007D42F2"/>
    <w:rsid w:val="007F2000"/>
    <w:rsid w:val="007F39D0"/>
    <w:rsid w:val="00827B73"/>
    <w:rsid w:val="008354EE"/>
    <w:rsid w:val="00846BCD"/>
    <w:rsid w:val="0084772C"/>
    <w:rsid w:val="00857777"/>
    <w:rsid w:val="008871C6"/>
    <w:rsid w:val="008943D0"/>
    <w:rsid w:val="008A7834"/>
    <w:rsid w:val="008B5A47"/>
    <w:rsid w:val="008C0EA4"/>
    <w:rsid w:val="008C6BA1"/>
    <w:rsid w:val="008D3923"/>
    <w:rsid w:val="008E0C2B"/>
    <w:rsid w:val="008E171A"/>
    <w:rsid w:val="00904C91"/>
    <w:rsid w:val="00932B80"/>
    <w:rsid w:val="009464B9"/>
    <w:rsid w:val="00971B80"/>
    <w:rsid w:val="00972EF5"/>
    <w:rsid w:val="0097580A"/>
    <w:rsid w:val="009A3D73"/>
    <w:rsid w:val="009A7EBD"/>
    <w:rsid w:val="009B78D3"/>
    <w:rsid w:val="009C724A"/>
    <w:rsid w:val="009D7811"/>
    <w:rsid w:val="009E56BC"/>
    <w:rsid w:val="009F6A22"/>
    <w:rsid w:val="00A02025"/>
    <w:rsid w:val="00A53857"/>
    <w:rsid w:val="00A602F7"/>
    <w:rsid w:val="00A77316"/>
    <w:rsid w:val="00A77EC2"/>
    <w:rsid w:val="00A85786"/>
    <w:rsid w:val="00A90045"/>
    <w:rsid w:val="00AA50AA"/>
    <w:rsid w:val="00AA5F6F"/>
    <w:rsid w:val="00AB2D5F"/>
    <w:rsid w:val="00AB4568"/>
    <w:rsid w:val="00AE1E33"/>
    <w:rsid w:val="00AE4A0B"/>
    <w:rsid w:val="00AE6908"/>
    <w:rsid w:val="00B104B9"/>
    <w:rsid w:val="00B214B7"/>
    <w:rsid w:val="00B21C58"/>
    <w:rsid w:val="00B2621D"/>
    <w:rsid w:val="00B3046D"/>
    <w:rsid w:val="00B45A00"/>
    <w:rsid w:val="00B467C0"/>
    <w:rsid w:val="00B517A6"/>
    <w:rsid w:val="00B71D51"/>
    <w:rsid w:val="00B74581"/>
    <w:rsid w:val="00B85127"/>
    <w:rsid w:val="00B8614C"/>
    <w:rsid w:val="00BA026A"/>
    <w:rsid w:val="00BA42EA"/>
    <w:rsid w:val="00BA6D11"/>
    <w:rsid w:val="00BC1743"/>
    <w:rsid w:val="00BC4FDA"/>
    <w:rsid w:val="00BD6E4D"/>
    <w:rsid w:val="00BE3B38"/>
    <w:rsid w:val="00BE43A3"/>
    <w:rsid w:val="00BE4C2A"/>
    <w:rsid w:val="00BE58D7"/>
    <w:rsid w:val="00BF1668"/>
    <w:rsid w:val="00C00834"/>
    <w:rsid w:val="00C0624D"/>
    <w:rsid w:val="00C10FC7"/>
    <w:rsid w:val="00C1238F"/>
    <w:rsid w:val="00C23BF2"/>
    <w:rsid w:val="00C43F25"/>
    <w:rsid w:val="00C442D8"/>
    <w:rsid w:val="00C71AA4"/>
    <w:rsid w:val="00C816C4"/>
    <w:rsid w:val="00C8601B"/>
    <w:rsid w:val="00CB3FAA"/>
    <w:rsid w:val="00CB5120"/>
    <w:rsid w:val="00CB5605"/>
    <w:rsid w:val="00CB641C"/>
    <w:rsid w:val="00CC2855"/>
    <w:rsid w:val="00CC53DA"/>
    <w:rsid w:val="00CD1A02"/>
    <w:rsid w:val="00CD1F7C"/>
    <w:rsid w:val="00CD3068"/>
    <w:rsid w:val="00CD398A"/>
    <w:rsid w:val="00CD5D67"/>
    <w:rsid w:val="00D12548"/>
    <w:rsid w:val="00D16BE9"/>
    <w:rsid w:val="00D34991"/>
    <w:rsid w:val="00D45157"/>
    <w:rsid w:val="00D470D8"/>
    <w:rsid w:val="00D52148"/>
    <w:rsid w:val="00D72D3B"/>
    <w:rsid w:val="00DA08A2"/>
    <w:rsid w:val="00DB4A99"/>
    <w:rsid w:val="00DB7BDE"/>
    <w:rsid w:val="00DC419E"/>
    <w:rsid w:val="00E05532"/>
    <w:rsid w:val="00E52193"/>
    <w:rsid w:val="00E66CAA"/>
    <w:rsid w:val="00E8324F"/>
    <w:rsid w:val="00E874D5"/>
    <w:rsid w:val="00E87CCA"/>
    <w:rsid w:val="00E93CFB"/>
    <w:rsid w:val="00EA2BB2"/>
    <w:rsid w:val="00EB370D"/>
    <w:rsid w:val="00EB3CC8"/>
    <w:rsid w:val="00EC6628"/>
    <w:rsid w:val="00ED3539"/>
    <w:rsid w:val="00EE58B8"/>
    <w:rsid w:val="00EE764C"/>
    <w:rsid w:val="00F10A30"/>
    <w:rsid w:val="00F171F4"/>
    <w:rsid w:val="00F22B56"/>
    <w:rsid w:val="00F318AC"/>
    <w:rsid w:val="00F505C8"/>
    <w:rsid w:val="00F67ABF"/>
    <w:rsid w:val="00F92AEE"/>
    <w:rsid w:val="00FA7FD3"/>
    <w:rsid w:val="00FD1366"/>
    <w:rsid w:val="00FD6EF9"/>
    <w:rsid w:val="00FE0772"/>
    <w:rsid w:val="00FE0C3D"/>
    <w:rsid w:val="00FF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DCBC3"/>
  <w15:chartTrackingRefBased/>
  <w15:docId w15:val="{3D2037DC-9537-4F2A-8088-41AF2290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ind w:firstLine="578"/>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6BE9"/>
    <w:pPr>
      <w:widowControl w:val="0"/>
      <w:ind w:firstLine="0"/>
      <w:jc w:val="left"/>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1"/>
    <w:qFormat/>
    <w:rsid w:val="00717A9A"/>
    <w:pPr>
      <w:widowControl/>
      <w:autoSpaceDE w:val="0"/>
      <w:autoSpaceDN w:val="0"/>
      <w:adjustRightInd w:val="0"/>
      <w:ind w:left="308" w:hanging="324"/>
      <w:outlineLvl w:val="0"/>
    </w:pPr>
    <w:rPr>
      <w:rFonts w:ascii="Arial" w:eastAsiaTheme="minorHAnsi" w:hAnsi="Arial" w:cs="Arial"/>
      <w:b/>
      <w:bCs/>
      <w:color w:val="auto"/>
      <w:sz w:val="37"/>
      <w:szCs w:val="3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D16BE9"/>
    <w:rPr>
      <w:rFonts w:eastAsia="Times New Roman"/>
      <w:color w:val="232226"/>
      <w:shd w:val="clear" w:color="auto" w:fill="FFFFFF"/>
    </w:rPr>
  </w:style>
  <w:style w:type="character" w:customStyle="1" w:styleId="BodyTextChar">
    <w:name w:val="Body Text Char"/>
    <w:link w:val="BodyText"/>
    <w:rsid w:val="00D16BE9"/>
    <w:rPr>
      <w:rFonts w:eastAsia="Times New Roman"/>
      <w:color w:val="232226"/>
      <w:shd w:val="clear" w:color="auto" w:fill="FFFFFF"/>
    </w:rPr>
  </w:style>
  <w:style w:type="paragraph" w:customStyle="1" w:styleId="Bodytext20">
    <w:name w:val="Body text (2)"/>
    <w:basedOn w:val="Normal"/>
    <w:link w:val="Bodytext2"/>
    <w:rsid w:val="00D16BE9"/>
    <w:pPr>
      <w:shd w:val="clear" w:color="auto" w:fill="FFFFFF"/>
      <w:spacing w:after="80"/>
      <w:ind w:firstLine="740"/>
      <w:jc w:val="both"/>
    </w:pPr>
    <w:rPr>
      <w:rFonts w:ascii="Times New Roman" w:eastAsia="Times New Roman" w:hAnsi="Times New Roman" w:cs="Times New Roman"/>
      <w:color w:val="232226"/>
      <w:sz w:val="28"/>
      <w:szCs w:val="28"/>
      <w:lang w:val="en-US" w:eastAsia="en-US" w:bidi="ar-SA"/>
    </w:rPr>
  </w:style>
  <w:style w:type="paragraph" w:styleId="BodyText">
    <w:name w:val="Body Text"/>
    <w:basedOn w:val="Normal"/>
    <w:link w:val="BodyTextChar"/>
    <w:qFormat/>
    <w:rsid w:val="00D16BE9"/>
    <w:pPr>
      <w:shd w:val="clear" w:color="auto" w:fill="FFFFFF"/>
      <w:spacing w:after="100"/>
      <w:jc w:val="both"/>
    </w:pPr>
    <w:rPr>
      <w:rFonts w:ascii="Times New Roman" w:eastAsia="Times New Roman" w:hAnsi="Times New Roman" w:cs="Times New Roman"/>
      <w:color w:val="232226"/>
      <w:sz w:val="28"/>
      <w:szCs w:val="28"/>
      <w:lang w:val="en-US" w:eastAsia="en-US" w:bidi="ar-SA"/>
    </w:rPr>
  </w:style>
  <w:style w:type="character" w:customStyle="1" w:styleId="BodyTextChar1">
    <w:name w:val="Body Text Char1"/>
    <w:basedOn w:val="DefaultParagraphFont"/>
    <w:uiPriority w:val="99"/>
    <w:semiHidden/>
    <w:rsid w:val="00D16BE9"/>
    <w:rPr>
      <w:rFonts w:ascii="Courier New" w:eastAsia="Courier New" w:hAnsi="Courier New" w:cs="Courier New"/>
      <w:color w:val="000000"/>
      <w:sz w:val="24"/>
      <w:szCs w:val="24"/>
      <w:lang w:val="vi-VN" w:eastAsia="vi-VN" w:bidi="vi-VN"/>
    </w:rPr>
  </w:style>
  <w:style w:type="paragraph" w:styleId="FootnoteText">
    <w:name w:val="footnote text"/>
    <w:basedOn w:val="Normal"/>
    <w:link w:val="FootnoteTextChar"/>
    <w:uiPriority w:val="99"/>
    <w:semiHidden/>
    <w:unhideWhenUsed/>
    <w:rsid w:val="00DB7BDE"/>
    <w:pPr>
      <w:widowControl/>
    </w:pPr>
    <w:rPr>
      <w:rFonts w:ascii=".VnTime" w:eastAsia="Times New Roman" w:hAnsi=".VnTime" w:cs="Times New Roman"/>
      <w:color w:val="auto"/>
      <w:sz w:val="20"/>
      <w:szCs w:val="20"/>
      <w:lang w:val="en-US" w:eastAsia="en-US" w:bidi="ar-SA"/>
    </w:rPr>
  </w:style>
  <w:style w:type="character" w:customStyle="1" w:styleId="FootnoteTextChar">
    <w:name w:val="Footnote Text Char"/>
    <w:basedOn w:val="DefaultParagraphFont"/>
    <w:link w:val="FootnoteText"/>
    <w:uiPriority w:val="99"/>
    <w:semiHidden/>
    <w:rsid w:val="00DB7BDE"/>
    <w:rPr>
      <w:rFonts w:ascii=".VnTime" w:eastAsia="Times New Roman" w:hAnsi=".VnTime"/>
      <w:sz w:val="20"/>
      <w:szCs w:val="20"/>
    </w:rPr>
  </w:style>
  <w:style w:type="character" w:styleId="FootnoteReference">
    <w:name w:val="footnote reference"/>
    <w:basedOn w:val="DefaultParagraphFont"/>
    <w:unhideWhenUsed/>
    <w:rsid w:val="00DB7BDE"/>
    <w:rPr>
      <w:vertAlign w:val="superscript"/>
    </w:rPr>
  </w:style>
  <w:style w:type="paragraph" w:styleId="Header">
    <w:name w:val="header"/>
    <w:basedOn w:val="Normal"/>
    <w:link w:val="HeaderChar"/>
    <w:uiPriority w:val="99"/>
    <w:unhideWhenUsed/>
    <w:rsid w:val="00BE3B38"/>
    <w:pPr>
      <w:tabs>
        <w:tab w:val="center" w:pos="4680"/>
        <w:tab w:val="right" w:pos="9360"/>
      </w:tabs>
    </w:pPr>
  </w:style>
  <w:style w:type="character" w:customStyle="1" w:styleId="HeaderChar">
    <w:name w:val="Header Char"/>
    <w:basedOn w:val="DefaultParagraphFont"/>
    <w:link w:val="Header"/>
    <w:uiPriority w:val="99"/>
    <w:rsid w:val="00BE3B38"/>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E3B38"/>
    <w:pPr>
      <w:tabs>
        <w:tab w:val="center" w:pos="4680"/>
        <w:tab w:val="right" w:pos="9360"/>
      </w:tabs>
    </w:pPr>
  </w:style>
  <w:style w:type="character" w:customStyle="1" w:styleId="FooterChar">
    <w:name w:val="Footer Char"/>
    <w:basedOn w:val="DefaultParagraphFont"/>
    <w:link w:val="Footer"/>
    <w:uiPriority w:val="99"/>
    <w:rsid w:val="00BE3B38"/>
    <w:rPr>
      <w:rFonts w:ascii="Courier New" w:eastAsia="Courier New" w:hAnsi="Courier New" w:cs="Courier New"/>
      <w:color w:val="000000"/>
      <w:sz w:val="24"/>
      <w:szCs w:val="24"/>
      <w:lang w:val="vi-VN" w:eastAsia="vi-VN" w:bidi="vi-VN"/>
    </w:rPr>
  </w:style>
  <w:style w:type="paragraph" w:styleId="ListParagraph">
    <w:name w:val="List Paragraph"/>
    <w:basedOn w:val="Normal"/>
    <w:uiPriority w:val="34"/>
    <w:qFormat/>
    <w:rsid w:val="0073181D"/>
    <w:pPr>
      <w:widowControl/>
      <w:spacing w:before="240" w:after="240" w:line="276" w:lineRule="auto"/>
      <w:ind w:left="720"/>
      <w:contextualSpacing/>
      <w:jc w:val="both"/>
    </w:pPr>
    <w:rPr>
      <w:rFonts w:ascii="Arial" w:eastAsia="Arial" w:hAnsi="Arial" w:cs="Arial"/>
      <w:color w:val="auto"/>
      <w:sz w:val="22"/>
      <w:szCs w:val="22"/>
      <w:lang w:val="en-US" w:eastAsia="en-US" w:bidi="ar-SA"/>
    </w:rPr>
  </w:style>
  <w:style w:type="paragraph" w:styleId="BalloonText">
    <w:name w:val="Balloon Text"/>
    <w:basedOn w:val="Normal"/>
    <w:link w:val="BalloonTextChar"/>
    <w:uiPriority w:val="99"/>
    <w:semiHidden/>
    <w:unhideWhenUsed/>
    <w:rsid w:val="00E52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193"/>
    <w:rPr>
      <w:rFonts w:ascii="Segoe UI" w:eastAsia="Courier New" w:hAnsi="Segoe UI" w:cs="Segoe UI"/>
      <w:color w:val="000000"/>
      <w:sz w:val="18"/>
      <w:szCs w:val="18"/>
      <w:lang w:val="vi-VN" w:eastAsia="vi-VN" w:bidi="vi-VN"/>
    </w:rPr>
  </w:style>
  <w:style w:type="character" w:customStyle="1" w:styleId="Heading1Char">
    <w:name w:val="Heading 1 Char"/>
    <w:basedOn w:val="DefaultParagraphFont"/>
    <w:link w:val="Heading1"/>
    <w:uiPriority w:val="1"/>
    <w:rsid w:val="00717A9A"/>
    <w:rPr>
      <w:rFonts w:ascii="Arial" w:hAnsi="Arial" w:cs="Arial"/>
      <w:b/>
      <w:bCs/>
      <w:sz w:val="37"/>
      <w:szCs w:val="37"/>
    </w:rPr>
  </w:style>
  <w:style w:type="paragraph" w:customStyle="1" w:styleId="TableParagraph">
    <w:name w:val="Table Paragraph"/>
    <w:basedOn w:val="Normal"/>
    <w:uiPriority w:val="1"/>
    <w:qFormat/>
    <w:rsid w:val="00167C04"/>
    <w:pPr>
      <w:widowControl/>
      <w:autoSpaceDE w:val="0"/>
      <w:autoSpaceDN w:val="0"/>
      <w:adjustRightInd w:val="0"/>
    </w:pPr>
    <w:rPr>
      <w:rFonts w:ascii="Times New Roman" w:eastAsiaTheme="minorHAnsi"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CD854-10C0-4F88-94DC-45E53558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12</Pages>
  <Words>4087</Words>
  <Characters>23300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30</cp:revision>
  <cp:lastPrinted>2021-08-05T09:17:00Z</cp:lastPrinted>
  <dcterms:created xsi:type="dcterms:W3CDTF">2021-08-19T04:54:00Z</dcterms:created>
  <dcterms:modified xsi:type="dcterms:W3CDTF">2021-10-05T03:03:00Z</dcterms:modified>
</cp:coreProperties>
</file>