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0D85F" w14:textId="77777777" w:rsidR="003171C2" w:rsidRPr="00137195" w:rsidRDefault="003171C2" w:rsidP="003171C2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37195">
        <w:rPr>
          <w:rFonts w:ascii="Times New Roman" w:hAnsi="Times New Roman"/>
          <w:b/>
          <w:sz w:val="26"/>
          <w:szCs w:val="26"/>
        </w:rPr>
        <w:t>THUYẾT MINH DỰ THẢO TIÊU CHUẨN QUỐC GIA</w:t>
      </w:r>
    </w:p>
    <w:p w14:paraId="6FB984AF" w14:textId="77777777" w:rsidR="003171C2" w:rsidRPr="00137195" w:rsidRDefault="003171C2" w:rsidP="003171C2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242084" w14:textId="77777777" w:rsidR="003171C2" w:rsidRPr="003A3F2E" w:rsidRDefault="003171C2" w:rsidP="003171C2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proofErr w:type="spellStart"/>
      <w:r w:rsidRPr="00CB7A25">
        <w:rPr>
          <w:b/>
          <w:sz w:val="26"/>
          <w:szCs w:val="26"/>
        </w:rPr>
        <w:t>Tên</w:t>
      </w:r>
      <w:proofErr w:type="spellEnd"/>
      <w:r w:rsidRPr="00CB7A25">
        <w:rPr>
          <w:b/>
          <w:sz w:val="26"/>
          <w:szCs w:val="26"/>
        </w:rPr>
        <w:t xml:space="preserve"> </w:t>
      </w:r>
      <w:proofErr w:type="spellStart"/>
      <w:r w:rsidRPr="00CB7A25">
        <w:rPr>
          <w:b/>
          <w:sz w:val="26"/>
          <w:szCs w:val="26"/>
        </w:rPr>
        <w:t>và</w:t>
      </w:r>
      <w:proofErr w:type="spellEnd"/>
      <w:r w:rsidRPr="00CB7A25">
        <w:rPr>
          <w:b/>
          <w:sz w:val="26"/>
          <w:szCs w:val="26"/>
        </w:rPr>
        <w:t xml:space="preserve"> </w:t>
      </w:r>
      <w:proofErr w:type="spellStart"/>
      <w:r w:rsidRPr="00CB7A25">
        <w:rPr>
          <w:b/>
          <w:sz w:val="26"/>
          <w:szCs w:val="26"/>
        </w:rPr>
        <w:t>ký</w:t>
      </w:r>
      <w:proofErr w:type="spellEnd"/>
      <w:r w:rsidRPr="00CB7A25">
        <w:rPr>
          <w:b/>
          <w:sz w:val="26"/>
          <w:szCs w:val="26"/>
        </w:rPr>
        <w:t xml:space="preserve"> </w:t>
      </w:r>
      <w:proofErr w:type="spellStart"/>
      <w:r w:rsidRPr="00CB7A25">
        <w:rPr>
          <w:b/>
          <w:sz w:val="26"/>
          <w:szCs w:val="26"/>
        </w:rPr>
        <w:t>hiệu</w:t>
      </w:r>
      <w:proofErr w:type="spellEnd"/>
      <w:r w:rsidRPr="00CB7A25">
        <w:rPr>
          <w:b/>
          <w:sz w:val="26"/>
          <w:szCs w:val="26"/>
        </w:rPr>
        <w:t xml:space="preserve"> </w:t>
      </w:r>
      <w:proofErr w:type="spellStart"/>
      <w:r w:rsidRPr="00CB7A25">
        <w:rPr>
          <w:b/>
          <w:sz w:val="26"/>
          <w:szCs w:val="26"/>
        </w:rPr>
        <w:t>tiêu</w:t>
      </w:r>
      <w:proofErr w:type="spellEnd"/>
      <w:r w:rsidRPr="00CB7A25">
        <w:rPr>
          <w:b/>
          <w:sz w:val="26"/>
          <w:szCs w:val="26"/>
        </w:rPr>
        <w:t xml:space="preserve"> </w:t>
      </w:r>
      <w:proofErr w:type="spellStart"/>
      <w:r w:rsidRPr="00CB7A25">
        <w:rPr>
          <w:b/>
          <w:sz w:val="26"/>
          <w:szCs w:val="26"/>
        </w:rPr>
        <w:t>chuẩn</w:t>
      </w:r>
      <w:proofErr w:type="spellEnd"/>
      <w:r w:rsidRPr="00CB7A25">
        <w:rPr>
          <w:b/>
          <w:sz w:val="26"/>
          <w:szCs w:val="26"/>
        </w:rPr>
        <w:t>:</w:t>
      </w:r>
    </w:p>
    <w:p w14:paraId="74003401" w14:textId="2A8AD116" w:rsidR="003171C2" w:rsidRPr="003171C2" w:rsidRDefault="003171C2" w:rsidP="003171C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F8414" wp14:editId="4EAAAB29">
                <wp:simplePos x="0" y="0"/>
                <wp:positionH relativeFrom="column">
                  <wp:posOffset>5063490</wp:posOffset>
                </wp:positionH>
                <wp:positionV relativeFrom="paragraph">
                  <wp:posOffset>-1273810</wp:posOffset>
                </wp:positionV>
                <wp:extent cx="1447800" cy="398145"/>
                <wp:effectExtent l="0" t="2540" r="381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5923" id="Rectangle 5" o:spid="_x0000_s1026" style="position:absolute;margin-left:398.7pt;margin-top:-100.3pt;width:114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" stroked="f"/>
            </w:pict>
          </mc:Fallback>
        </mc:AlternateContent>
      </w:r>
      <w:r w:rsidRPr="003171C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Cyclospora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Cryptosporidium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</w:p>
    <w:p w14:paraId="46D7F237" w14:textId="77777777" w:rsidR="003171C2" w:rsidRPr="00137195" w:rsidRDefault="003171C2" w:rsidP="003171C2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37195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13719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137195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hoặc</w:t>
      </w:r>
      <w:proofErr w:type="spellEnd"/>
      <w:r w:rsidRPr="0013719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cá</w:t>
      </w:r>
      <w:proofErr w:type="spellEnd"/>
      <w:r w:rsidRPr="0013719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137195">
        <w:rPr>
          <w:rFonts w:ascii="Times New Roman" w:hAnsi="Times New Roman"/>
          <w:b/>
          <w:sz w:val="26"/>
          <w:szCs w:val="26"/>
        </w:rPr>
        <w:t xml:space="preserve">) 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13719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/>
          <w:sz w:val="26"/>
          <w:szCs w:val="26"/>
        </w:rPr>
        <w:t>nghị</w:t>
      </w:r>
      <w:proofErr w:type="spellEnd"/>
    </w:p>
    <w:p w14:paraId="6573F887" w14:textId="77777777" w:rsidR="003171C2" w:rsidRPr="00137195" w:rsidRDefault="003171C2" w:rsidP="003171C2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137195">
        <w:rPr>
          <w:rFonts w:ascii="Times New Roman" w:hAnsi="Times New Roman"/>
          <w:bCs/>
          <w:sz w:val="26"/>
          <w:szCs w:val="26"/>
        </w:rPr>
        <w:t>Tên</w:t>
      </w:r>
      <w:proofErr w:type="spellEnd"/>
      <w:r w:rsidRPr="0013719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13719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137195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Pr="00137195">
        <w:rPr>
          <w:rFonts w:ascii="Times New Roman" w:hAnsi="Times New Roman"/>
          <w:bCs/>
          <w:sz w:val="26"/>
          <w:szCs w:val="26"/>
        </w:rPr>
        <w:t>cá</w:t>
      </w:r>
      <w:proofErr w:type="spellEnd"/>
      <w:r w:rsidRPr="0013719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bCs/>
          <w:sz w:val="26"/>
          <w:szCs w:val="26"/>
        </w:rPr>
        <w:t>nhân</w:t>
      </w:r>
      <w:proofErr w:type="spellEnd"/>
      <w:r w:rsidRPr="00137195">
        <w:rPr>
          <w:rFonts w:ascii="Times New Roman" w:hAnsi="Times New Roman"/>
          <w:bCs/>
          <w:sz w:val="26"/>
          <w:szCs w:val="26"/>
        </w:rPr>
        <w:t xml:space="preserve">): </w:t>
      </w:r>
      <w:r w:rsidRPr="00137195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137195">
        <w:rPr>
          <w:rFonts w:ascii="Times New Roman" w:hAnsi="Times New Roman"/>
          <w:sz w:val="26"/>
          <w:szCs w:val="26"/>
        </w:rPr>
        <w:t>Viện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Kiểm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nghiệm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ATVSTP </w:t>
      </w:r>
      <w:proofErr w:type="spellStart"/>
      <w:r w:rsidRPr="00137195">
        <w:rPr>
          <w:rFonts w:ascii="Times New Roman" w:hAnsi="Times New Roman"/>
          <w:sz w:val="26"/>
          <w:szCs w:val="26"/>
        </w:rPr>
        <w:t>quốc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gia</w:t>
      </w:r>
      <w:proofErr w:type="spellEnd"/>
    </w:p>
    <w:p w14:paraId="2D123700" w14:textId="77777777" w:rsidR="003171C2" w:rsidRPr="00137195" w:rsidRDefault="003171C2" w:rsidP="003171C2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37195">
        <w:rPr>
          <w:rFonts w:ascii="Times New Roman" w:hAnsi="Times New Roman"/>
          <w:sz w:val="26"/>
          <w:szCs w:val="26"/>
        </w:rPr>
        <w:t>Địa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chỉ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37195">
        <w:rPr>
          <w:rFonts w:ascii="Times New Roman" w:hAnsi="Times New Roman"/>
          <w:sz w:val="26"/>
          <w:szCs w:val="26"/>
        </w:rPr>
        <w:t>Số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65 </w:t>
      </w:r>
      <w:proofErr w:type="spellStart"/>
      <w:r w:rsidRPr="00137195">
        <w:rPr>
          <w:rFonts w:ascii="Times New Roman" w:hAnsi="Times New Roman"/>
          <w:sz w:val="26"/>
          <w:szCs w:val="26"/>
        </w:rPr>
        <w:t>Phạm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Thận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Duật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137195">
        <w:rPr>
          <w:rFonts w:ascii="Times New Roman" w:hAnsi="Times New Roman"/>
          <w:sz w:val="26"/>
          <w:szCs w:val="26"/>
        </w:rPr>
        <w:t>Cầu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Giấy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137195">
        <w:rPr>
          <w:rFonts w:ascii="Times New Roman" w:hAnsi="Times New Roman"/>
          <w:sz w:val="26"/>
          <w:szCs w:val="26"/>
        </w:rPr>
        <w:t>Hà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nội</w:t>
      </w:r>
      <w:proofErr w:type="spellEnd"/>
    </w:p>
    <w:p w14:paraId="2ED4BA51" w14:textId="77777777" w:rsidR="003171C2" w:rsidRPr="00137195" w:rsidRDefault="003171C2" w:rsidP="003171C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sz w:val="26"/>
          <w:szCs w:val="26"/>
        </w:rPr>
        <w:t xml:space="preserve">      - </w:t>
      </w:r>
      <w:proofErr w:type="spellStart"/>
      <w:r w:rsidRPr="00137195">
        <w:rPr>
          <w:rFonts w:ascii="Times New Roman" w:hAnsi="Times New Roman"/>
          <w:sz w:val="26"/>
          <w:szCs w:val="26"/>
        </w:rPr>
        <w:t>Điện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thoại</w:t>
      </w:r>
      <w:proofErr w:type="spellEnd"/>
      <w:r w:rsidRPr="00137195">
        <w:rPr>
          <w:rFonts w:ascii="Times New Roman" w:hAnsi="Times New Roman"/>
          <w:sz w:val="26"/>
          <w:szCs w:val="26"/>
        </w:rPr>
        <w:t>: 043.</w:t>
      </w:r>
      <w:r>
        <w:rPr>
          <w:rFonts w:ascii="Times New Roman" w:hAnsi="Times New Roman"/>
          <w:sz w:val="26"/>
          <w:szCs w:val="26"/>
        </w:rPr>
        <w:t>9716004</w:t>
      </w:r>
      <w:r w:rsidRPr="00137195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137195">
        <w:rPr>
          <w:rFonts w:ascii="Times New Roman" w:hAnsi="Times New Roman"/>
          <w:sz w:val="26"/>
          <w:szCs w:val="26"/>
        </w:rPr>
        <w:t xml:space="preserve">CQ)   </w:t>
      </w:r>
      <w:proofErr w:type="gramEnd"/>
      <w:r w:rsidRPr="00137195">
        <w:rPr>
          <w:rFonts w:ascii="Times New Roman" w:hAnsi="Times New Roman"/>
          <w:sz w:val="26"/>
          <w:szCs w:val="26"/>
        </w:rPr>
        <w:t xml:space="preserve">                       Fax: 04.39335738</w:t>
      </w:r>
    </w:p>
    <w:p w14:paraId="31FC7B8F" w14:textId="77777777" w:rsidR="003171C2" w:rsidRPr="00137195" w:rsidRDefault="003171C2" w:rsidP="003171C2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37195">
        <w:rPr>
          <w:rFonts w:ascii="Times New Roman" w:hAnsi="Times New Roman"/>
          <w:sz w:val="26"/>
          <w:szCs w:val="26"/>
        </w:rPr>
        <w:t>Tên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cơ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quan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chủ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quản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37195">
        <w:rPr>
          <w:rFonts w:ascii="Times New Roman" w:hAnsi="Times New Roman"/>
          <w:sz w:val="26"/>
          <w:szCs w:val="26"/>
        </w:rPr>
        <w:t>Bộ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137195">
        <w:rPr>
          <w:rFonts w:ascii="Times New Roman" w:hAnsi="Times New Roman"/>
          <w:sz w:val="26"/>
          <w:szCs w:val="26"/>
        </w:rPr>
        <w:t>tế</w:t>
      </w:r>
      <w:proofErr w:type="spellEnd"/>
    </w:p>
    <w:p w14:paraId="3E1CF763" w14:textId="77777777" w:rsidR="003171C2" w:rsidRPr="00137195" w:rsidRDefault="003171C2" w:rsidP="003171C2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137195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>
        <w:rPr>
          <w:rFonts w:ascii="Times New Roman" w:hAnsi="Times New Roman"/>
          <w:b/>
          <w:sz w:val="26"/>
          <w:szCs w:val="26"/>
        </w:rPr>
        <w:t>Khái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quát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chung</w:t>
      </w:r>
      <w:proofErr w:type="spellEnd"/>
    </w:p>
    <w:p w14:paraId="784B7404" w14:textId="77777777" w:rsidR="003171C2" w:rsidRPr="00F504A2" w:rsidRDefault="003171C2" w:rsidP="003171C2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Cyclospora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cayetanensis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Cryptosporidium spp., Giardia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duodenalis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Toxoplasma gondii.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Cryptosporidium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Cyclospora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coccidian (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là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một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phân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lớp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của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trùng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nội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bào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bắt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buộc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đơn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bào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hình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thành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bào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tử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thuộc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lớp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apicomplexan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Conoidasida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), </w:t>
      </w:r>
      <w:proofErr w:type="spellStart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là</w:t>
      </w:r>
      <w:proofErr w:type="spellEnd"/>
      <w:r w:rsidRPr="00F504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Cryptosporidium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Cryptosporidium hominis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Cryptosporidium parvum.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C. parvum (ID50)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132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noãn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nang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cryptosporidiosis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noãn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nang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504A2">
        <w:rPr>
          <w:rFonts w:ascii="Times New Roman" w:hAnsi="Times New Roman" w:cs="Times New Roman"/>
          <w:sz w:val="26"/>
          <w:szCs w:val="26"/>
        </w:rPr>
        <w:t>C.parvum</w:t>
      </w:r>
      <w:proofErr w:type="spellEnd"/>
      <w:proofErr w:type="gram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>.</w:t>
      </w:r>
    </w:p>
    <w:p w14:paraId="01AEC29B" w14:textId="77777777" w:rsidR="003171C2" w:rsidRPr="00F504A2" w:rsidRDefault="003171C2" w:rsidP="003171C2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Noãn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Cryptosporidium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khử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clo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chloramines)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tổn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lọc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Ở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Canada, </w:t>
      </w:r>
      <w:r w:rsidRPr="00F504A2">
        <w:rPr>
          <w:rFonts w:ascii="Times New Roman" w:hAnsi="Times New Roman" w:cs="Times New Roman"/>
          <w:sz w:val="26"/>
          <w:szCs w:val="26"/>
        </w:rPr>
        <w:lastRenderedPageBreak/>
        <w:t xml:space="preserve">Cryptosporidium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>.</w:t>
      </w:r>
    </w:p>
    <w:p w14:paraId="286C5F3F" w14:textId="77777777" w:rsidR="003171C2" w:rsidRPr="00F504A2" w:rsidRDefault="003171C2" w:rsidP="003171C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Crptosporidium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Cyclospora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90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99%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cyclosporia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608EAA6F" w14:textId="77777777" w:rsidR="003171C2" w:rsidRPr="00F504A2" w:rsidRDefault="003171C2" w:rsidP="003171C2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du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hơp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Cycloporia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cayetanensis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1995.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đợt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cyclosporia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mâm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xôi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mesclun,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Lan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húng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noãn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cryptosporidiosis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rượu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noãn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tiệt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salad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rau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rốt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>.</w:t>
      </w:r>
    </w:p>
    <w:p w14:paraId="5C2D5E28" w14:textId="77777777" w:rsidR="003171C2" w:rsidRPr="00F504A2" w:rsidRDefault="003171C2" w:rsidP="003171C2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bẩn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tuw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phaamr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rau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Cryptosporidium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rượu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táo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Cyclospora </w:t>
      </w:r>
      <w:proofErr w:type="spellStart"/>
      <w:proofErr w:type="gram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’</w:t>
      </w:r>
      <w:proofErr w:type="gramEnd"/>
      <w:r w:rsidRPr="00F504A2">
        <w:rPr>
          <w:rFonts w:ascii="Times New Roman" w:hAnsi="Times New Roman" w:cs="Times New Roman"/>
          <w:sz w:val="26"/>
          <w:szCs w:val="26"/>
        </w:rPr>
        <w:t>‘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túi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Ô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trọt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04A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504A2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53820BB5" w14:textId="77777777" w:rsidR="003171C2" w:rsidRPr="00F504A2" w:rsidRDefault="003171C2" w:rsidP="003171C2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Các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ký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trùng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hội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mức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lưu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rộng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vực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phạm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vi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cũng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mức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phổ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làm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hoặc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thậm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chục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mắc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Nó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liên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chặt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chẽ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nền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quốc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khoa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kỹ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hội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phong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tập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quán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tộc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... Ở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khoa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kỹ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ớ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mức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ký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trùng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càng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giảm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bị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tiêu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diệt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Trái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lại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còn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nghèo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lạc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hậu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ký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trùng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càng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trở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trầm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trọng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làm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ảnh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hưởng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sức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khỏe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kể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mạng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F504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F07FD2A" w14:textId="77777777" w:rsidR="003171C2" w:rsidRPr="00A918FB" w:rsidRDefault="003171C2" w:rsidP="003171C2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trùng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suy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sút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thiếu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niên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tổn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do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trùng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hó</w:t>
      </w:r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Nam.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trùng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18FB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ế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soát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lây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nhiễm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trinh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F5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30880901" w14:textId="77777777" w:rsidR="003171C2" w:rsidRDefault="003171C2" w:rsidP="003171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</w:rPr>
      </w:pPr>
      <w:r w:rsidRPr="007629D3">
        <w:rPr>
          <w:rFonts w:ascii="Times New Roman" w:hAnsi="Times New Roman" w:cs="Times New Roman"/>
          <w:sz w:val="24"/>
        </w:rPr>
        <w:t xml:space="preserve"> </w:t>
      </w:r>
    </w:p>
    <w:p w14:paraId="6DCE2F8C" w14:textId="77777777" w:rsidR="003171C2" w:rsidRPr="00F504A2" w:rsidRDefault="003171C2" w:rsidP="003171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504A2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F504A2">
        <w:rPr>
          <w:rFonts w:ascii="Times New Roman" w:hAnsi="Times New Roman" w:cs="Times New Roman"/>
          <w:b/>
          <w:bCs/>
          <w:sz w:val="26"/>
          <w:szCs w:val="26"/>
          <w:lang w:val="vi-VN"/>
        </w:rPr>
        <w:t>Sự cần thiết của việc xây dựng các tiêu chuẩn</w:t>
      </w:r>
    </w:p>
    <w:p w14:paraId="1A02F2F1" w14:textId="77777777" w:rsidR="003171C2" w:rsidRPr="00137195" w:rsidRDefault="003171C2" w:rsidP="003171C2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sz w:val="26"/>
          <w:szCs w:val="26"/>
        </w:rPr>
        <w:tab/>
      </w:r>
      <w:proofErr w:type="spellStart"/>
      <w:r w:rsidRPr="00137195">
        <w:rPr>
          <w:rFonts w:ascii="Times New Roman" w:hAnsi="Times New Roman"/>
          <w:sz w:val="26"/>
          <w:szCs w:val="26"/>
        </w:rPr>
        <w:t>Vấn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đề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chất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lượng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137195">
        <w:rPr>
          <w:rFonts w:ascii="Times New Roman" w:hAnsi="Times New Roman"/>
          <w:sz w:val="26"/>
          <w:szCs w:val="26"/>
        </w:rPr>
        <w:t>toàn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đang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mối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quan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tâm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của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toàn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xã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hội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37195">
        <w:rPr>
          <w:rFonts w:ascii="Times New Roman" w:hAnsi="Times New Roman"/>
          <w:sz w:val="26"/>
          <w:szCs w:val="26"/>
        </w:rPr>
        <w:t>Nhiều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nghiên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cứu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trong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nước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trên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thế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giới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đã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khẳng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định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mối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liên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quan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chặt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chẽ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giữa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sức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khoẻ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người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tiêu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dùng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37195">
        <w:rPr>
          <w:rFonts w:ascii="Times New Roman" w:hAnsi="Times New Roman"/>
          <w:sz w:val="26"/>
          <w:szCs w:val="26"/>
        </w:rPr>
        <w:t>Thành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phần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7195">
        <w:rPr>
          <w:rFonts w:ascii="Times New Roman" w:hAnsi="Times New Roman"/>
          <w:sz w:val="26"/>
          <w:szCs w:val="26"/>
        </w:rPr>
        <w:t>thói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quen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ăn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uống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có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ảnh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hưởng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lớn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tới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sự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phát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triển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thể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7195">
        <w:rPr>
          <w:rFonts w:ascii="Times New Roman" w:hAnsi="Times New Roman"/>
          <w:sz w:val="26"/>
          <w:szCs w:val="26"/>
        </w:rPr>
        <w:t>trí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tuệ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của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trẻ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em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sự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xuất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hiện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hoặc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phòng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ngừa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một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số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bệnh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mạn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tính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của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người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lớn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37195">
        <w:rPr>
          <w:rFonts w:ascii="Times New Roman" w:hAnsi="Times New Roman"/>
          <w:sz w:val="26"/>
          <w:szCs w:val="26"/>
        </w:rPr>
        <w:t>Khi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đời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sống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được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cải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thiện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7195">
        <w:rPr>
          <w:rFonts w:ascii="Times New Roman" w:hAnsi="Times New Roman"/>
          <w:sz w:val="26"/>
          <w:szCs w:val="26"/>
        </w:rPr>
        <w:t>nguồn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các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sản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chế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biến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ngày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càng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phong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phú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thì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nhu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cầu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tìm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hiểu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về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thành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phần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trở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nên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cần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thiết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hơn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37195">
        <w:rPr>
          <w:rFonts w:ascii="Times New Roman" w:hAnsi="Times New Roman"/>
          <w:sz w:val="26"/>
          <w:szCs w:val="26"/>
        </w:rPr>
        <w:t>Các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phương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pháp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phân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tích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là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công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cụ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hữu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hiệu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để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đánh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giá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chất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lượng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thành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phần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thực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>.</w:t>
      </w:r>
    </w:p>
    <w:p w14:paraId="7E2EBC5F" w14:textId="77777777" w:rsidR="003171C2" w:rsidRPr="007372A4" w:rsidRDefault="003171C2" w:rsidP="003171C2">
      <w:pPr>
        <w:pStyle w:val="Heading1"/>
        <w:shd w:val="clear" w:color="auto" w:fill="FFFFFF"/>
        <w:spacing w:before="0" w:after="0" w:line="312" w:lineRule="auto"/>
        <w:jc w:val="both"/>
        <w:rPr>
          <w:rFonts w:ascii="Times New Roman" w:hAnsi="Times New Roman"/>
          <w:b w:val="0"/>
          <w:caps/>
          <w:color w:val="333333"/>
          <w:spacing w:val="-15"/>
          <w:kern w:val="36"/>
          <w:sz w:val="26"/>
          <w:szCs w:val="26"/>
          <w:lang w:val="en-US" w:eastAsia="en-US"/>
        </w:rPr>
      </w:pPr>
      <w:r w:rsidRPr="00137195">
        <w:rPr>
          <w:rFonts w:ascii="Times New Roman" w:hAnsi="Times New Roman"/>
          <w:sz w:val="26"/>
          <w:szCs w:val="26"/>
        </w:rPr>
        <w:tab/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Các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tổ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chức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tiêu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chuẩn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quốc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tế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liên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tục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cập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nhật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cải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tiến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các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phương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phân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tích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.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Tuy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nhiên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không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có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phương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tiêu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chuẩn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nào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được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chấp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nhận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trên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toàn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thế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giới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để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rửa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giải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phân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lập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nhiều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loài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noãn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bào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nguyên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sinh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từ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sản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phẩm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tươi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, do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sự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khác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biệt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về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tính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chất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của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các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chất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kết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dính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thực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phẩm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ký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sinh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trùng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khác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nhau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.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Một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phương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tiêu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chuẩn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(ISO </w:t>
      </w:r>
      <w:r w:rsidRPr="007372A4">
        <w:rPr>
          <w:rFonts w:ascii="Times New Roman" w:hAnsi="Times New Roman"/>
          <w:b w:val="0"/>
          <w:caps/>
          <w:color w:val="333333"/>
          <w:spacing w:val="-15"/>
          <w:kern w:val="36"/>
          <w:sz w:val="26"/>
          <w:szCs w:val="26"/>
          <w:lang w:val="en-US" w:eastAsia="en-US"/>
        </w:rPr>
        <w:t xml:space="preserve">18744:2016)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để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định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lượng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Cryptosporidium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Giardia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đã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có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sẵn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;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tuy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nhiên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phương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pháp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này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liên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lastRenderedPageBreak/>
        <w:t>quan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đến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phân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tách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từ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miễn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dịch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xét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nghiệm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phát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bằng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kính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hiển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vi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miễn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dịch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huỳnh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quang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chỉ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dành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riêng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cho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chi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không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có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khả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năng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mô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tả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đặc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điểm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di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truyền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.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Hiện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tại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các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xét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nghiệm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nào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có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sẵn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</w:rPr>
        <w:t>cho</w:t>
      </w:r>
      <w:proofErr w:type="spellEnd"/>
      <w:r w:rsidRPr="007372A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các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loài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gây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bệnh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hiện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diện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trong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thực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phẩm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tươi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nước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đã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được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phát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triển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bởi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Cục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quản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lý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Dược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phẩm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Thực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phẩm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Hoa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Kỳ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(FDA)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dựa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trên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nguyên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lý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kính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hiến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vi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phân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tích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đặc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điểm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di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truyền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khuếch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đại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đoạn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gen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đặc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hiệu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giúp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cho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kết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quả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chính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xác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hơn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và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tiết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kiệm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thời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gian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phân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 </w:t>
      </w:r>
      <w:proofErr w:type="spellStart"/>
      <w:r w:rsidRPr="007372A4">
        <w:rPr>
          <w:rFonts w:ascii="Times New Roman" w:hAnsi="Times New Roman"/>
          <w:b w:val="0"/>
          <w:sz w:val="26"/>
          <w:szCs w:val="26"/>
          <w:lang w:val="en-US"/>
        </w:rPr>
        <w:t>tích</w:t>
      </w:r>
      <w:proofErr w:type="spellEnd"/>
      <w:r w:rsidRPr="007372A4">
        <w:rPr>
          <w:rFonts w:ascii="Times New Roman" w:hAnsi="Times New Roman"/>
          <w:b w:val="0"/>
          <w:sz w:val="26"/>
          <w:szCs w:val="26"/>
          <w:lang w:val="en-US"/>
        </w:rPr>
        <w:t xml:space="preserve">. </w:t>
      </w:r>
    </w:p>
    <w:p w14:paraId="61FD8AE3" w14:textId="73C2F0C6" w:rsidR="003171C2" w:rsidRPr="00137195" w:rsidRDefault="003171C2" w:rsidP="003171C2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sz w:val="26"/>
          <w:szCs w:val="26"/>
        </w:rPr>
        <w:tab/>
      </w:r>
      <w:r w:rsidRPr="00137195">
        <w:rPr>
          <w:rFonts w:ascii="Times New Roman" w:hAnsi="Times New Roman"/>
          <w:sz w:val="26"/>
          <w:szCs w:val="26"/>
          <w:lang w:val="vi-VN"/>
        </w:rPr>
        <w:t xml:space="preserve">Vì vậy việc </w:t>
      </w:r>
      <w:proofErr w:type="spellStart"/>
      <w:r w:rsidRPr="00137195">
        <w:rPr>
          <w:rFonts w:ascii="Times New Roman" w:hAnsi="Times New Roman"/>
          <w:sz w:val="26"/>
          <w:szCs w:val="26"/>
        </w:rPr>
        <w:t>xây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dựng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dự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thảo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r w:rsidRPr="000318E3">
        <w:rPr>
          <w:rFonts w:ascii="Times New Roman" w:hAnsi="Times New Roman"/>
          <w:sz w:val="26"/>
          <w:szCs w:val="26"/>
        </w:rPr>
        <w:t xml:space="preserve">TCVN </w:t>
      </w:r>
      <w:r w:rsidRPr="000318E3">
        <w:rPr>
          <w:rFonts w:ascii="Times New Roman" w:hAnsi="Times New Roman"/>
          <w:bCs/>
          <w:sz w:val="26"/>
          <w:szCs w:val="26"/>
          <w:lang w:val="cs-CZ"/>
        </w:rPr>
        <w:t xml:space="preserve">Phương pháp định lượng </w:t>
      </w:r>
      <w:r>
        <w:rPr>
          <w:rFonts w:ascii="Times New Roman" w:hAnsi="Times New Roman"/>
          <w:bCs/>
          <w:sz w:val="26"/>
          <w:szCs w:val="26"/>
          <w:lang w:val="cs-CZ"/>
        </w:rPr>
        <w:t>ký sinh trùng “</w:t>
      </w:r>
      <w:r w:rsidRPr="003171C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Cyclospora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Cryptosporidium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317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171C2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” </w:t>
      </w:r>
      <w:r w:rsidRPr="00137195">
        <w:rPr>
          <w:rFonts w:ascii="Times New Roman" w:hAnsi="Times New Roman"/>
          <w:sz w:val="26"/>
          <w:szCs w:val="26"/>
          <w:lang w:val="vi-VN"/>
        </w:rPr>
        <w:t xml:space="preserve">là rất cần thiết, điều này giúp cho người tiêu dùng </w:t>
      </w:r>
      <w:proofErr w:type="spellStart"/>
      <w:r w:rsidRPr="00137195">
        <w:rPr>
          <w:rFonts w:ascii="Times New Roman" w:hAnsi="Times New Roman"/>
          <w:sz w:val="26"/>
          <w:szCs w:val="26"/>
        </w:rPr>
        <w:t>lựa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chọn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được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sản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 w:rsidRPr="00137195">
        <w:rPr>
          <w:rFonts w:ascii="Times New Roman" w:hAnsi="Times New Roman"/>
          <w:sz w:val="26"/>
          <w:szCs w:val="26"/>
          <w:lang w:val="vi-VN"/>
        </w:rPr>
        <w:t xml:space="preserve">, giúp nhà sản xuất </w:t>
      </w:r>
      <w:proofErr w:type="spellStart"/>
      <w:r w:rsidRPr="00137195">
        <w:rPr>
          <w:rFonts w:ascii="Times New Roman" w:hAnsi="Times New Roman"/>
          <w:sz w:val="26"/>
          <w:szCs w:val="26"/>
        </w:rPr>
        <w:t>kiểm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soát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chất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lượng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sản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từ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khâu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nguyên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liệu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đầu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vào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đến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sản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phẩm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đầu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ra</w:t>
      </w:r>
      <w:r w:rsidRPr="00137195">
        <w:rPr>
          <w:rFonts w:ascii="Times New Roman" w:hAnsi="Times New Roman"/>
          <w:sz w:val="26"/>
          <w:szCs w:val="26"/>
          <w:lang w:val="vi-VN"/>
        </w:rPr>
        <w:t xml:space="preserve">, giúp nhà quản lý kiểm soát vấn đề chất lượng </w:t>
      </w:r>
      <w:r>
        <w:rPr>
          <w:rFonts w:ascii="Times New Roman" w:hAnsi="Times New Roman"/>
          <w:sz w:val="26"/>
          <w:szCs w:val="26"/>
        </w:rPr>
        <w:t xml:space="preserve">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phẩm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tươi</w:t>
      </w:r>
      <w:proofErr w:type="spellEnd"/>
      <w:r w:rsidRPr="00137195">
        <w:rPr>
          <w:rFonts w:ascii="Times New Roman" w:hAnsi="Times New Roman"/>
          <w:sz w:val="26"/>
          <w:szCs w:val="26"/>
        </w:rPr>
        <w:t>.</w:t>
      </w:r>
    </w:p>
    <w:p w14:paraId="56C60267" w14:textId="77777777" w:rsidR="003171C2" w:rsidRPr="007372A4" w:rsidRDefault="003171C2" w:rsidP="003171C2">
      <w:pPr>
        <w:keepNext/>
        <w:spacing w:before="120" w:line="276" w:lineRule="auto"/>
        <w:jc w:val="both"/>
        <w:outlineLvl w:val="0"/>
        <w:rPr>
          <w:b/>
          <w:bCs/>
          <w:sz w:val="28"/>
          <w:lang w:val="nl-NL"/>
        </w:rPr>
      </w:pPr>
      <w:r w:rsidRPr="00137195">
        <w:rPr>
          <w:rFonts w:ascii="Times New Roman" w:hAnsi="Times New Roman"/>
          <w:b/>
          <w:sz w:val="26"/>
          <w:szCs w:val="26"/>
        </w:rPr>
        <w:t xml:space="preserve">5. </w:t>
      </w:r>
      <w:r w:rsidRPr="007372A4">
        <w:rPr>
          <w:rFonts w:ascii="Times New Roman" w:hAnsi="Times New Roman" w:cs="Times New Roman"/>
          <w:b/>
          <w:bCs/>
          <w:sz w:val="26"/>
          <w:szCs w:val="26"/>
          <w:lang w:val="nl-NL"/>
        </w:rPr>
        <w:t>Phương thức xây dựng và tài liệu làm căn cứ xây dựng TCVN</w:t>
      </w:r>
    </w:p>
    <w:p w14:paraId="0556FE64" w14:textId="77777777" w:rsidR="003171C2" w:rsidRPr="007364A0" w:rsidRDefault="003171C2" w:rsidP="003171C2">
      <w:pPr>
        <w:pStyle w:val="ListParagraph"/>
        <w:numPr>
          <w:ilvl w:val="0"/>
          <w:numId w:val="3"/>
        </w:numPr>
        <w:tabs>
          <w:tab w:val="left" w:pos="10980"/>
        </w:tabs>
        <w:autoSpaceDE w:val="0"/>
        <w:autoSpaceDN w:val="0"/>
        <w:spacing w:line="312" w:lineRule="auto"/>
        <w:ind w:left="426" w:hanging="426"/>
        <w:jc w:val="both"/>
        <w:rPr>
          <w:sz w:val="26"/>
          <w:szCs w:val="26"/>
          <w:lang w:val="pt-BR"/>
        </w:rPr>
      </w:pPr>
      <w:r w:rsidRPr="007364A0">
        <w:rPr>
          <w:sz w:val="26"/>
          <w:szCs w:val="26"/>
          <w:lang w:val="pt-BR"/>
        </w:rPr>
        <w:t xml:space="preserve">Phương thức thực hiện: </w:t>
      </w:r>
    </w:p>
    <w:p w14:paraId="7569F50D" w14:textId="77777777" w:rsidR="003171C2" w:rsidRPr="007364A0" w:rsidRDefault="003171C2" w:rsidP="003171C2">
      <w:pPr>
        <w:pStyle w:val="ListParagraph"/>
        <w:numPr>
          <w:ilvl w:val="0"/>
          <w:numId w:val="4"/>
        </w:numPr>
        <w:tabs>
          <w:tab w:val="left" w:pos="10980"/>
        </w:tabs>
        <w:autoSpaceDE w:val="0"/>
        <w:autoSpaceDN w:val="0"/>
        <w:spacing w:line="312" w:lineRule="auto"/>
        <w:jc w:val="both"/>
        <w:rPr>
          <w:sz w:val="26"/>
          <w:szCs w:val="26"/>
          <w:lang w:val="pt-BR"/>
        </w:rPr>
      </w:pPr>
      <w:r w:rsidRPr="007364A0">
        <w:rPr>
          <w:sz w:val="26"/>
          <w:szCs w:val="26"/>
          <w:lang w:val="pt-BR"/>
        </w:rPr>
        <w:t>Chấp nhận tiêu chuẩn quốc tế</w:t>
      </w:r>
    </w:p>
    <w:p w14:paraId="7CEAF2CC" w14:textId="77777777" w:rsidR="003171C2" w:rsidRPr="007364A0" w:rsidRDefault="003171C2" w:rsidP="003171C2">
      <w:pPr>
        <w:pStyle w:val="Heading3"/>
        <w:numPr>
          <w:ilvl w:val="0"/>
          <w:numId w:val="3"/>
        </w:numPr>
        <w:shd w:val="clear" w:color="auto" w:fill="FFFFFF"/>
        <w:spacing w:before="0" w:line="312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364A0">
        <w:rPr>
          <w:rFonts w:ascii="Times New Roman" w:hAnsi="Times New Roman" w:cs="Times New Roman"/>
          <w:sz w:val="26"/>
          <w:szCs w:val="26"/>
          <w:lang w:val="pt-BR"/>
        </w:rPr>
        <w:t>Tài liệu chính làm căn cứ xây dựng TCVN:</w:t>
      </w:r>
    </w:p>
    <w:p w14:paraId="5C717EB5" w14:textId="77777777" w:rsidR="003171C2" w:rsidRPr="007364A0" w:rsidRDefault="003171C2" w:rsidP="003171C2">
      <w:pPr>
        <w:pStyle w:val="Heading3"/>
        <w:numPr>
          <w:ilvl w:val="0"/>
          <w:numId w:val="4"/>
        </w:numPr>
        <w:shd w:val="clear" w:color="auto" w:fill="FFFFFF"/>
        <w:spacing w:before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364A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quẩn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Dược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“</w:t>
      </w:r>
      <w:r w:rsidRPr="007364A0">
        <w:rPr>
          <w:rFonts w:ascii="Times New Roman" w:eastAsia="Times New Roman" w:hAnsi="Times New Roman" w:cs="Times New Roman"/>
          <w:bCs/>
          <w:color w:val="333333"/>
          <w:spacing w:val="8"/>
          <w:sz w:val="26"/>
          <w:szCs w:val="26"/>
        </w:rPr>
        <w:t>Bacteriological Analytical Manual</w:t>
      </w:r>
      <w:r w:rsidRPr="007364A0">
        <w:rPr>
          <w:rFonts w:ascii="Times New Roman" w:eastAsia="Times New Roman" w:hAnsi="Times New Roman" w:cs="Times New Roman"/>
          <w:bCs/>
          <w:color w:val="333333"/>
          <w:spacing w:val="8"/>
          <w:sz w:val="26"/>
          <w:szCs w:val="26"/>
        </w:rPr>
        <w:br/>
        <w:t>Chapter 19a: Detection of </w:t>
      </w:r>
      <w:r w:rsidRPr="007364A0">
        <w:rPr>
          <w:rFonts w:ascii="Times New Roman" w:eastAsia="Times New Roman" w:hAnsi="Times New Roman" w:cs="Times New Roman"/>
          <w:bCs/>
          <w:i/>
          <w:iCs/>
          <w:color w:val="333333"/>
          <w:spacing w:val="8"/>
          <w:sz w:val="26"/>
          <w:szCs w:val="26"/>
        </w:rPr>
        <w:t>Cyclospora</w:t>
      </w:r>
      <w:r w:rsidRPr="007364A0">
        <w:rPr>
          <w:rFonts w:ascii="Times New Roman" w:eastAsia="Times New Roman" w:hAnsi="Times New Roman" w:cs="Times New Roman"/>
          <w:bCs/>
          <w:color w:val="333333"/>
          <w:spacing w:val="8"/>
          <w:sz w:val="26"/>
          <w:szCs w:val="26"/>
        </w:rPr>
        <w:t> and </w:t>
      </w:r>
      <w:r w:rsidRPr="007364A0">
        <w:rPr>
          <w:rFonts w:ascii="Times New Roman" w:eastAsia="Times New Roman" w:hAnsi="Times New Roman" w:cs="Times New Roman"/>
          <w:bCs/>
          <w:i/>
          <w:iCs/>
          <w:color w:val="333333"/>
          <w:spacing w:val="8"/>
          <w:sz w:val="26"/>
          <w:szCs w:val="26"/>
        </w:rPr>
        <w:t>Cryptosporidium</w:t>
      </w:r>
      <w:r w:rsidRPr="007364A0">
        <w:rPr>
          <w:rFonts w:ascii="Times New Roman" w:eastAsia="Times New Roman" w:hAnsi="Times New Roman" w:cs="Times New Roman"/>
          <w:bCs/>
          <w:color w:val="333333"/>
          <w:spacing w:val="8"/>
          <w:sz w:val="26"/>
          <w:szCs w:val="26"/>
        </w:rPr>
        <w:t> from Fresh Produce: Isolation and Identification by Polymerase Chain Reaction (PCR) and Microscopic analysis”.</w:t>
      </w:r>
    </w:p>
    <w:p w14:paraId="0916D6AD" w14:textId="77777777" w:rsidR="003171C2" w:rsidRDefault="003171C2" w:rsidP="003171C2">
      <w:pPr>
        <w:pStyle w:val="Heading3"/>
        <w:numPr>
          <w:ilvl w:val="0"/>
          <w:numId w:val="4"/>
        </w:numPr>
        <w:shd w:val="clear" w:color="auto" w:fill="FFFFFF"/>
        <w:spacing w:before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4A0">
        <w:rPr>
          <w:rFonts w:ascii="Times New Roman" w:eastAsia="Times New Roman" w:hAnsi="Times New Roman" w:cs="Times New Roman"/>
          <w:bCs/>
          <w:color w:val="333333"/>
          <w:spacing w:val="8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r w:rsidRPr="007364A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Phát hiện </w:t>
      </w:r>
      <w:r w:rsidRPr="007364A0">
        <w:rPr>
          <w:rFonts w:ascii="Times New Roman" w:hAnsi="Times New Roman" w:cs="Times New Roman"/>
          <w:bCs/>
          <w:i/>
          <w:sz w:val="26"/>
          <w:szCs w:val="26"/>
          <w:lang w:val="pt-BR"/>
        </w:rPr>
        <w:t xml:space="preserve">Cyclospora </w:t>
      </w:r>
      <w:r w:rsidRPr="007364A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và </w:t>
      </w:r>
      <w:r w:rsidRPr="007364A0">
        <w:rPr>
          <w:rFonts w:ascii="Times New Roman" w:hAnsi="Times New Roman" w:cs="Times New Roman"/>
          <w:bCs/>
          <w:i/>
          <w:sz w:val="26"/>
          <w:szCs w:val="26"/>
          <w:lang w:val="pt-BR"/>
        </w:rPr>
        <w:t xml:space="preserve">Cryptosporidium </w:t>
      </w:r>
      <w:r w:rsidRPr="007364A0">
        <w:rPr>
          <w:rFonts w:ascii="Times New Roman" w:hAnsi="Times New Roman" w:cs="Times New Roman"/>
          <w:bCs/>
          <w:sz w:val="26"/>
          <w:szCs w:val="26"/>
          <w:lang w:val="pt-BR"/>
        </w:rPr>
        <w:t>từ thực phẩm tươi sống và nước</w:t>
      </w:r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b/>
          <w:sz w:val="26"/>
          <w:szCs w:val="26"/>
        </w:rPr>
        <w:t>chấp</w:t>
      </w:r>
      <w:proofErr w:type="spellEnd"/>
      <w:r w:rsidRPr="00736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b/>
          <w:sz w:val="26"/>
          <w:szCs w:val="26"/>
        </w:rPr>
        <w:t>thuận</w:t>
      </w:r>
      <w:proofErr w:type="spellEnd"/>
      <w:r w:rsidRPr="00736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736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b/>
          <w:sz w:val="26"/>
          <w:szCs w:val="26"/>
        </w:rPr>
        <w:t>vẹn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64A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364A0">
        <w:rPr>
          <w:rFonts w:ascii="Times New Roman" w:hAnsi="Times New Roman" w:cs="Times New Roman"/>
          <w:sz w:val="26"/>
          <w:szCs w:val="26"/>
        </w:rPr>
        <w:t>).</w:t>
      </w:r>
    </w:p>
    <w:p w14:paraId="4C36540F" w14:textId="77777777" w:rsidR="003171C2" w:rsidRPr="007364A0" w:rsidRDefault="003171C2" w:rsidP="003171C2"/>
    <w:p w14:paraId="5B43998A" w14:textId="77777777" w:rsidR="003171C2" w:rsidRPr="00137195" w:rsidRDefault="003171C2" w:rsidP="003171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137195">
        <w:rPr>
          <w:rFonts w:ascii="Times New Roman" w:hAnsi="Times New Roman"/>
          <w:b/>
          <w:sz w:val="26"/>
          <w:szCs w:val="26"/>
          <w:lang w:val="pt-BR"/>
        </w:rPr>
        <w:t xml:space="preserve">6. </w:t>
      </w:r>
      <w:r w:rsidRPr="007364A0">
        <w:rPr>
          <w:rFonts w:ascii="Times New Roman" w:hAnsi="Times New Roman" w:cs="Times New Roman"/>
          <w:b/>
          <w:bCs/>
          <w:sz w:val="26"/>
          <w:szCs w:val="26"/>
          <w:lang w:val="nl-NL"/>
        </w:rPr>
        <w:t>Nội dung tiêu chuẩn</w:t>
      </w:r>
    </w:p>
    <w:p w14:paraId="4B663805" w14:textId="77777777" w:rsidR="003171C2" w:rsidRPr="007364A0" w:rsidRDefault="003171C2" w:rsidP="003171C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OLE_LINK6"/>
      <w:bookmarkStart w:id="1" w:name="OLE_LINK7"/>
      <w:r w:rsidRPr="007364A0">
        <w:rPr>
          <w:rFonts w:ascii="Times New Roman" w:hAnsi="Times New Roman" w:cs="Times New Roman"/>
          <w:sz w:val="26"/>
          <w:szCs w:val="26"/>
          <w:lang w:val="nl-NL"/>
        </w:rPr>
        <w:t>Bố cục, nội dung dự kiến của các TCVN:</w:t>
      </w:r>
      <w:bookmarkStart w:id="2" w:name="_GoBack"/>
      <w:bookmarkEnd w:id="2"/>
    </w:p>
    <w:p w14:paraId="2B7FFF72" w14:textId="77777777" w:rsidR="003171C2" w:rsidRPr="00137195" w:rsidRDefault="003171C2" w:rsidP="003171C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37195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137195">
        <w:rPr>
          <w:rFonts w:ascii="Times New Roman" w:hAnsi="Times New Roman"/>
          <w:sz w:val="26"/>
          <w:szCs w:val="26"/>
        </w:rPr>
        <w:t>Lời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nói</w:t>
      </w:r>
      <w:proofErr w:type="spellEnd"/>
      <w:r w:rsidRPr="00137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7195">
        <w:rPr>
          <w:rFonts w:ascii="Times New Roman" w:hAnsi="Times New Roman"/>
          <w:sz w:val="26"/>
          <w:szCs w:val="26"/>
        </w:rPr>
        <w:t>đầu</w:t>
      </w:r>
      <w:proofErr w:type="spellEnd"/>
    </w:p>
    <w:p w14:paraId="687773E8" w14:textId="77777777" w:rsidR="003171C2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137195">
        <w:rPr>
          <w:sz w:val="26"/>
          <w:szCs w:val="26"/>
        </w:rPr>
        <w:t>Phạm</w:t>
      </w:r>
      <w:proofErr w:type="spellEnd"/>
      <w:r w:rsidRPr="00137195">
        <w:rPr>
          <w:sz w:val="26"/>
          <w:szCs w:val="26"/>
        </w:rPr>
        <w:t xml:space="preserve"> vi </w:t>
      </w:r>
      <w:proofErr w:type="spellStart"/>
      <w:r w:rsidRPr="00137195">
        <w:rPr>
          <w:sz w:val="26"/>
          <w:szCs w:val="26"/>
        </w:rPr>
        <w:t>áp</w:t>
      </w:r>
      <w:proofErr w:type="spellEnd"/>
      <w:r w:rsidRPr="00137195">
        <w:rPr>
          <w:sz w:val="26"/>
          <w:szCs w:val="26"/>
        </w:rPr>
        <w:t xml:space="preserve"> </w:t>
      </w:r>
      <w:proofErr w:type="spellStart"/>
      <w:r w:rsidRPr="00137195">
        <w:rPr>
          <w:sz w:val="26"/>
          <w:szCs w:val="26"/>
        </w:rPr>
        <w:t>dụng</w:t>
      </w:r>
      <w:proofErr w:type="spellEnd"/>
    </w:p>
    <w:p w14:paraId="49A66DA9" w14:textId="77777777" w:rsidR="003171C2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tắc</w:t>
      </w:r>
      <w:proofErr w:type="spellEnd"/>
    </w:p>
    <w:bookmarkEnd w:id="0"/>
    <w:bookmarkEnd w:id="1"/>
    <w:p w14:paraId="10C9D932" w14:textId="77777777" w:rsidR="003171C2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Thuốc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thử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thử</w:t>
      </w:r>
      <w:proofErr w:type="spellEnd"/>
    </w:p>
    <w:p w14:paraId="2A9DFCC0" w14:textId="77777777" w:rsidR="003171C2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</w:p>
    <w:p w14:paraId="09F62453" w14:textId="77777777" w:rsidR="003171C2" w:rsidRPr="00AF4E9C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</w:p>
    <w:p w14:paraId="42DC3E12" w14:textId="77777777" w:rsidR="003171C2" w:rsidRPr="00137195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</w:t>
      </w:r>
      <w:r w:rsidRPr="00137195">
        <w:rPr>
          <w:sz w:val="26"/>
          <w:szCs w:val="26"/>
        </w:rPr>
        <w:t>iến</w:t>
      </w:r>
      <w:proofErr w:type="spellEnd"/>
      <w:r w:rsidRPr="00137195">
        <w:rPr>
          <w:sz w:val="26"/>
          <w:szCs w:val="26"/>
        </w:rPr>
        <w:t xml:space="preserve"> </w:t>
      </w:r>
      <w:proofErr w:type="spellStart"/>
      <w:r w:rsidRPr="00137195">
        <w:rPr>
          <w:sz w:val="26"/>
          <w:szCs w:val="26"/>
        </w:rPr>
        <w:t>hành</w:t>
      </w:r>
      <w:proofErr w:type="spellEnd"/>
    </w:p>
    <w:p w14:paraId="1646220A" w14:textId="77777777" w:rsidR="003171C2" w:rsidRPr="00137195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</w:p>
    <w:p w14:paraId="1B94A9E2" w14:textId="77777777" w:rsidR="003171C2" w:rsidRDefault="003171C2" w:rsidP="003171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137195">
        <w:rPr>
          <w:sz w:val="26"/>
          <w:szCs w:val="26"/>
        </w:rPr>
        <w:t>Báo</w:t>
      </w:r>
      <w:proofErr w:type="spellEnd"/>
      <w:r w:rsidRPr="00137195">
        <w:rPr>
          <w:sz w:val="26"/>
          <w:szCs w:val="26"/>
        </w:rPr>
        <w:t xml:space="preserve"> </w:t>
      </w:r>
      <w:proofErr w:type="spellStart"/>
      <w:r w:rsidRPr="00137195">
        <w:rPr>
          <w:sz w:val="26"/>
          <w:szCs w:val="26"/>
        </w:rPr>
        <w:t>cáo</w:t>
      </w:r>
      <w:proofErr w:type="spellEnd"/>
      <w:r w:rsidRPr="00137195">
        <w:rPr>
          <w:sz w:val="26"/>
          <w:szCs w:val="26"/>
        </w:rPr>
        <w:t xml:space="preserve"> </w:t>
      </w:r>
      <w:proofErr w:type="spellStart"/>
      <w:r w:rsidRPr="00137195">
        <w:rPr>
          <w:sz w:val="26"/>
          <w:szCs w:val="26"/>
        </w:rPr>
        <w:t>thử</w:t>
      </w:r>
      <w:proofErr w:type="spellEnd"/>
      <w:r w:rsidRPr="00137195">
        <w:rPr>
          <w:sz w:val="26"/>
          <w:szCs w:val="26"/>
        </w:rPr>
        <w:t xml:space="preserve"> </w:t>
      </w:r>
      <w:proofErr w:type="spellStart"/>
      <w:r w:rsidRPr="00137195">
        <w:rPr>
          <w:sz w:val="26"/>
          <w:szCs w:val="26"/>
        </w:rPr>
        <w:t>nghiệm</w:t>
      </w:r>
      <w:proofErr w:type="spellEnd"/>
    </w:p>
    <w:p w14:paraId="31460B2F" w14:textId="77777777" w:rsidR="003171C2" w:rsidRPr="00137195" w:rsidRDefault="003171C2" w:rsidP="003171C2">
      <w:pPr>
        <w:pStyle w:val="Heading1"/>
        <w:keepLines/>
        <w:spacing w:before="0" w:after="0" w:line="360" w:lineRule="auto"/>
        <w:jc w:val="both"/>
        <w:rPr>
          <w:rFonts w:ascii="Times New Roman" w:eastAsia="MS Mincho" w:hAnsi="Times New Roman"/>
          <w:b w:val="0"/>
          <w:bCs w:val="0"/>
          <w:kern w:val="0"/>
          <w:sz w:val="26"/>
          <w:szCs w:val="26"/>
          <w:lang w:val="en-US" w:eastAsia="ja-JP"/>
        </w:rPr>
      </w:pPr>
      <w:bookmarkStart w:id="3" w:name="_Toc396913124"/>
    </w:p>
    <w:bookmarkEnd w:id="3"/>
    <w:p w14:paraId="6727D9DF" w14:textId="77777777" w:rsidR="003171C2" w:rsidRPr="007364A0" w:rsidRDefault="003171C2" w:rsidP="003171C2">
      <w:pPr>
        <w:spacing w:before="12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nb-NO"/>
        </w:rPr>
      </w:pPr>
      <w:r w:rsidRPr="007364A0">
        <w:rPr>
          <w:rFonts w:ascii="Times New Roman" w:hAnsi="Times New Roman" w:cs="Times New Roman"/>
          <w:i/>
          <w:iCs/>
          <w:sz w:val="26"/>
          <w:szCs w:val="26"/>
          <w:lang w:val="nb-NO"/>
        </w:rPr>
        <w:t>Hà Nội, ngày       tháng      năm 2019</w:t>
      </w:r>
    </w:p>
    <w:p w14:paraId="7EDE2B01" w14:textId="77777777" w:rsidR="003171C2" w:rsidRPr="007364A0" w:rsidRDefault="003171C2" w:rsidP="003171C2">
      <w:pPr>
        <w:ind w:left="2880" w:firstLine="720"/>
        <w:rPr>
          <w:rFonts w:ascii="Times New Roman" w:hAnsi="Times New Roman" w:cs="Times New Roman"/>
          <w:sz w:val="26"/>
          <w:szCs w:val="26"/>
        </w:rPr>
      </w:pPr>
      <w:r w:rsidRPr="007364A0">
        <w:rPr>
          <w:rFonts w:ascii="Times New Roman" w:hAnsi="Times New Roman" w:cs="Times New Roman"/>
          <w:sz w:val="26"/>
          <w:szCs w:val="26"/>
          <w:lang w:val="nl-NL"/>
        </w:rPr>
        <w:t>TM. Ban soạn thảo</w:t>
      </w:r>
    </w:p>
    <w:p w14:paraId="2C24D441" w14:textId="77777777" w:rsidR="003171C2" w:rsidRDefault="003171C2" w:rsidP="003171C2"/>
    <w:p w14:paraId="756F804F" w14:textId="77777777" w:rsidR="008E45FC" w:rsidRDefault="008E45FC"/>
    <w:sectPr w:rsidR="008E45FC" w:rsidSect="009935A5">
      <w:footerReference w:type="even" r:id="rId5"/>
      <w:footerReference w:type="default" r:id="rId6"/>
      <w:pgSz w:w="11909" w:h="16834" w:code="9"/>
      <w:pgMar w:top="1200" w:right="1200" w:bottom="180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3112" w14:textId="77777777" w:rsidR="00C13FB6" w:rsidRDefault="003171C2" w:rsidP="00BB76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E8259B" w14:textId="77777777" w:rsidR="00C13FB6" w:rsidRDefault="003171C2" w:rsidP="00BB76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8497" w14:textId="77777777" w:rsidR="00C13FB6" w:rsidRDefault="003171C2" w:rsidP="00BB76E9">
    <w:pPr>
      <w:pStyle w:val="Footer"/>
      <w:framePr w:wrap="around" w:vAnchor="text" w:hAnchor="margin" w:xAlign="center" w:y="1"/>
      <w:rPr>
        <w:rStyle w:val="PageNumber"/>
      </w:rPr>
    </w:pPr>
  </w:p>
  <w:p w14:paraId="46814662" w14:textId="77777777" w:rsidR="00C13FB6" w:rsidRDefault="003171C2" w:rsidP="00BB76E9">
    <w:pPr>
      <w:pStyle w:val="Footer"/>
      <w:ind w:right="360"/>
    </w:pPr>
  </w:p>
  <w:p w14:paraId="6875F9E9" w14:textId="77777777" w:rsidR="00C13FB6" w:rsidRDefault="003171C2" w:rsidP="00BB76E9">
    <w:pPr>
      <w:pStyle w:val="Footer"/>
      <w:ind w:right="360"/>
    </w:pPr>
  </w:p>
  <w:p w14:paraId="11015775" w14:textId="77777777" w:rsidR="00C13FB6" w:rsidRDefault="003171C2" w:rsidP="00BB76E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3C5"/>
    <w:multiLevelType w:val="hybridMultilevel"/>
    <w:tmpl w:val="2A5457F8"/>
    <w:lvl w:ilvl="0" w:tplc="5E50B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0E16"/>
    <w:multiLevelType w:val="hybridMultilevel"/>
    <w:tmpl w:val="C848F452"/>
    <w:lvl w:ilvl="0" w:tplc="FF5883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9445A"/>
    <w:multiLevelType w:val="multilevel"/>
    <w:tmpl w:val="8256C242"/>
    <w:lvl w:ilvl="0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68A18F5"/>
    <w:multiLevelType w:val="hybridMultilevel"/>
    <w:tmpl w:val="7952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C2"/>
    <w:rsid w:val="003171C2"/>
    <w:rsid w:val="008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22CE"/>
  <w15:chartTrackingRefBased/>
  <w15:docId w15:val="{BE809966-26CF-484F-BD3F-1FDE9D4A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C2"/>
  </w:style>
  <w:style w:type="paragraph" w:styleId="Heading1">
    <w:name w:val="heading 1"/>
    <w:basedOn w:val="Normal"/>
    <w:next w:val="Normal"/>
    <w:link w:val="Heading1Char"/>
    <w:qFormat/>
    <w:rsid w:val="003171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1C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3171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rsid w:val="003171C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171C2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3171C2"/>
  </w:style>
  <w:style w:type="paragraph" w:styleId="ListParagraph">
    <w:name w:val="List Paragraph"/>
    <w:basedOn w:val="Normal"/>
    <w:uiPriority w:val="34"/>
    <w:qFormat/>
    <w:rsid w:val="003171C2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INSTR-ADMIN</dc:creator>
  <cp:keywords/>
  <dc:description/>
  <cp:lastModifiedBy>INSTR-ADMIN</cp:lastModifiedBy>
  <cp:revision>1</cp:revision>
  <dcterms:created xsi:type="dcterms:W3CDTF">2020-02-05T04:34:00Z</dcterms:created>
  <dcterms:modified xsi:type="dcterms:W3CDTF">2020-02-05T04:36:00Z</dcterms:modified>
</cp:coreProperties>
</file>