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0" w:type="dxa"/>
        <w:tblInd w:w="-34" w:type="dxa"/>
        <w:tblLook w:val="01E0" w:firstRow="1" w:lastRow="1" w:firstColumn="1" w:lastColumn="1" w:noHBand="0" w:noVBand="0"/>
      </w:tblPr>
      <w:tblGrid>
        <w:gridCol w:w="3153"/>
        <w:gridCol w:w="6237"/>
      </w:tblGrid>
      <w:tr w:rsidR="003B43CB" w:rsidRPr="00F108B4" w14:paraId="3AFA2E95" w14:textId="77777777" w:rsidTr="00DB1ECB">
        <w:trPr>
          <w:trHeight w:val="994"/>
        </w:trPr>
        <w:tc>
          <w:tcPr>
            <w:tcW w:w="3153" w:type="dxa"/>
          </w:tcPr>
          <w:p w14:paraId="26D454F5" w14:textId="77777777" w:rsidR="003B43CB" w:rsidRPr="007C07C0" w:rsidRDefault="003B43CB" w:rsidP="00DB1ECB">
            <w:pPr>
              <w:pStyle w:val="Subtitle"/>
              <w:tabs>
                <w:tab w:val="left" w:pos="720"/>
              </w:tabs>
              <w:outlineLvl w:val="0"/>
              <w:rPr>
                <w:rFonts w:ascii="Times New Roman" w:hAnsi="Times New Roman" w:cs="Times New Roman"/>
                <w:b w:val="0"/>
                <w:lang w:val="fr-FR"/>
              </w:rPr>
            </w:pPr>
            <w:r>
              <w:rPr>
                <w:b w:val="0"/>
                <w:bCs w:val="0"/>
                <w:sz w:val="26"/>
                <w:szCs w:val="26"/>
                <w:lang w:val="fr-FR"/>
              </w:rPr>
              <w:br w:type="page"/>
            </w:r>
            <w:r w:rsidRPr="007C07C0">
              <w:rPr>
                <w:rFonts w:ascii="Times New Roman" w:hAnsi="Times New Roman" w:cs="Times New Roman"/>
                <w:lang w:val="fr-FR"/>
              </w:rPr>
              <w:t>BỘ Y TẾ</w:t>
            </w:r>
          </w:p>
          <w:p w14:paraId="3ACC0FAC" w14:textId="38DE6F7C" w:rsidR="003B43CB" w:rsidRPr="00F108B4" w:rsidRDefault="00CC11CC" w:rsidP="00DB1ECB">
            <w:pPr>
              <w:pStyle w:val="Subtitle"/>
              <w:tabs>
                <w:tab w:val="left" w:pos="720"/>
              </w:tabs>
              <w:outlineLvl w:val="0"/>
              <w:rPr>
                <w:b w:val="0"/>
                <w:i/>
              </w:rPr>
            </w:pPr>
            <w:r>
              <w:rPr>
                <w:b w:val="0"/>
                <w:i/>
                <w:noProof/>
              </w:rPr>
              <mc:AlternateContent>
                <mc:Choice Requires="wps">
                  <w:drawing>
                    <wp:anchor distT="0" distB="0" distL="114300" distR="114300" simplePos="0" relativeHeight="251657728" behindDoc="0" locked="0" layoutInCell="1" allowOverlap="1" wp14:anchorId="0FB01EB0" wp14:editId="79FB4DA3">
                      <wp:simplePos x="0" y="0"/>
                      <wp:positionH relativeFrom="column">
                        <wp:posOffset>675005</wp:posOffset>
                      </wp:positionH>
                      <wp:positionV relativeFrom="paragraph">
                        <wp:posOffset>33655</wp:posOffset>
                      </wp:positionV>
                      <wp:extent cx="483870" cy="7620"/>
                      <wp:effectExtent l="9525" t="5715" r="11430" b="5715"/>
                      <wp:wrapNone/>
                      <wp:docPr id="75800254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387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8704FB" id="_x0000_t32" coordsize="21600,21600" o:spt="32" o:oned="t" path="m,l21600,21600e" filled="f">
                      <v:path arrowok="t" fillok="f" o:connecttype="none"/>
                      <o:lock v:ext="edit" shapetype="t"/>
                    </v:shapetype>
                    <v:shape id="AutoShape 29" o:spid="_x0000_s1026" type="#_x0000_t32" style="position:absolute;margin-left:53.15pt;margin-top:2.65pt;width:38.1pt;height:.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"/>
                  </w:pict>
                </mc:Fallback>
              </mc:AlternateContent>
            </w:r>
          </w:p>
        </w:tc>
        <w:tc>
          <w:tcPr>
            <w:tcW w:w="6237" w:type="dxa"/>
          </w:tcPr>
          <w:p w14:paraId="41821D10" w14:textId="77777777" w:rsidR="003B43CB" w:rsidRPr="007B099C" w:rsidRDefault="003B43CB" w:rsidP="00DB1ECB">
            <w:pPr>
              <w:tabs>
                <w:tab w:val="left" w:pos="720"/>
              </w:tabs>
              <w:jc w:val="center"/>
              <w:outlineLvl w:val="0"/>
              <w:rPr>
                <w:b/>
                <w:bCs/>
                <w:sz w:val="28"/>
                <w:szCs w:val="28"/>
              </w:rPr>
            </w:pPr>
            <w:r w:rsidRPr="007B099C">
              <w:rPr>
                <w:b/>
                <w:bCs/>
                <w:sz w:val="28"/>
                <w:szCs w:val="28"/>
              </w:rPr>
              <w:t>CỘNG HÒA XÃ HỘI CHỦ NGHĨA VIỆT NAM</w:t>
            </w:r>
          </w:p>
          <w:p w14:paraId="37A1D803" w14:textId="77777777" w:rsidR="003B43CB" w:rsidRPr="007B099C" w:rsidRDefault="003B43CB" w:rsidP="00DB1ECB">
            <w:pPr>
              <w:tabs>
                <w:tab w:val="left" w:pos="720"/>
              </w:tabs>
              <w:jc w:val="center"/>
              <w:outlineLvl w:val="0"/>
              <w:rPr>
                <w:b/>
                <w:bCs/>
                <w:sz w:val="28"/>
                <w:szCs w:val="28"/>
              </w:rPr>
            </w:pPr>
            <w:r w:rsidRPr="007B099C">
              <w:rPr>
                <w:b/>
                <w:bCs/>
                <w:sz w:val="28"/>
                <w:szCs w:val="28"/>
              </w:rPr>
              <w:t>Độc lập - Tự do - Hạnh phúc</w:t>
            </w:r>
          </w:p>
          <w:p w14:paraId="56E8C5D4" w14:textId="1F0F08A8" w:rsidR="003B43CB" w:rsidRPr="007B099C" w:rsidRDefault="00CC11CC" w:rsidP="00DB1ECB">
            <w:pPr>
              <w:tabs>
                <w:tab w:val="left" w:pos="720"/>
              </w:tabs>
              <w:jc w:val="center"/>
              <w:outlineLvl w:val="0"/>
              <w:rPr>
                <w:b/>
                <w:bCs/>
                <w:sz w:val="28"/>
                <w:szCs w:val="28"/>
              </w:rPr>
            </w:pPr>
            <w:r>
              <w:rPr>
                <w:b/>
                <w:bCs/>
                <w:noProof/>
                <w:sz w:val="28"/>
                <w:szCs w:val="28"/>
              </w:rPr>
              <mc:AlternateContent>
                <mc:Choice Requires="wps">
                  <w:drawing>
                    <wp:anchor distT="0" distB="0" distL="114300" distR="114300" simplePos="0" relativeHeight="251656704" behindDoc="0" locked="0" layoutInCell="1" allowOverlap="1" wp14:anchorId="72960061" wp14:editId="5B3BC55B">
                      <wp:simplePos x="0" y="0"/>
                      <wp:positionH relativeFrom="column">
                        <wp:posOffset>928370</wp:posOffset>
                      </wp:positionH>
                      <wp:positionV relativeFrom="paragraph">
                        <wp:posOffset>12065</wp:posOffset>
                      </wp:positionV>
                      <wp:extent cx="2038350" cy="11430"/>
                      <wp:effectExtent l="7620" t="7620" r="11430" b="9525"/>
                      <wp:wrapNone/>
                      <wp:docPr id="644455940"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38350"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009ACD" id="AutoShape 28" o:spid="_x0000_s1026" type="#_x0000_t32" style="position:absolute;margin-left:73.1pt;margin-top:.95pt;width:160.5pt;height:.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"/>
                  </w:pict>
                </mc:Fallback>
              </mc:AlternateContent>
            </w:r>
          </w:p>
        </w:tc>
      </w:tr>
      <w:tr w:rsidR="003B43CB" w:rsidRPr="007B099C" w14:paraId="6FE2EF6E" w14:textId="77777777" w:rsidTr="00DB1ECB">
        <w:trPr>
          <w:trHeight w:val="650"/>
        </w:trPr>
        <w:tc>
          <w:tcPr>
            <w:tcW w:w="3153" w:type="dxa"/>
          </w:tcPr>
          <w:p w14:paraId="2AD9D86E" w14:textId="1BADBE4C" w:rsidR="003B43CB" w:rsidRPr="007B099C" w:rsidRDefault="00CC11CC" w:rsidP="00DB1ECB">
            <w:pPr>
              <w:tabs>
                <w:tab w:val="left" w:pos="720"/>
              </w:tabs>
              <w:jc w:val="center"/>
              <w:rPr>
                <w:sz w:val="28"/>
                <w:szCs w:val="28"/>
              </w:rPr>
            </w:pPr>
            <w:r>
              <w:rPr>
                <w:noProof/>
              </w:rPr>
              <mc:AlternateContent>
                <mc:Choice Requires="wps">
                  <w:drawing>
                    <wp:anchor distT="45720" distB="45720" distL="114300" distR="114300" simplePos="0" relativeHeight="251658752" behindDoc="0" locked="0" layoutInCell="1" allowOverlap="1" wp14:anchorId="7F997D26" wp14:editId="3BED5A4B">
                      <wp:simplePos x="0" y="0"/>
                      <wp:positionH relativeFrom="column">
                        <wp:posOffset>378460</wp:posOffset>
                      </wp:positionH>
                      <wp:positionV relativeFrom="paragraph">
                        <wp:posOffset>377825</wp:posOffset>
                      </wp:positionV>
                      <wp:extent cx="1058545" cy="283845"/>
                      <wp:effectExtent l="8255" t="5080" r="9525" b="6350"/>
                      <wp:wrapSquare wrapText="bothSides"/>
                      <wp:docPr id="10040089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83845"/>
                              </a:xfrm>
                              <a:prstGeom prst="rect">
                                <a:avLst/>
                              </a:prstGeom>
                              <a:solidFill>
                                <a:srgbClr val="FFFFFF"/>
                              </a:solidFill>
                              <a:ln w="9525">
                                <a:solidFill>
                                  <a:srgbClr val="000000"/>
                                </a:solidFill>
                                <a:miter lim="800000"/>
                                <a:headEnd/>
                                <a:tailEnd/>
                              </a:ln>
                            </wps:spPr>
                            <wps:txbx>
                              <w:txbxContent>
                                <w:p w14:paraId="473DC5BB" w14:textId="77777777" w:rsidR="003B43CB" w:rsidRPr="0013527B" w:rsidRDefault="003B43CB" w:rsidP="003B43CB">
                                  <w:pPr>
                                    <w:jc w:val="center"/>
                                    <w:rPr>
                                      <w:b/>
                                      <w:bCs/>
                                    </w:rPr>
                                  </w:pPr>
                                  <w:r w:rsidRPr="0013527B">
                                    <w:rPr>
                                      <w:b/>
                                      <w:bCs/>
                                    </w:rPr>
                                    <w:t>D</w:t>
                                  </w:r>
                                  <w:r>
                                    <w:rPr>
                                      <w:b/>
                                      <w:bCs/>
                                    </w:rPr>
                                    <w:t>Ự</w:t>
                                  </w:r>
                                  <w:r w:rsidRPr="0013527B">
                                    <w:rPr>
                                      <w:b/>
                                      <w:bCs/>
                                    </w:rPr>
                                    <w:t xml:space="preserve">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997D26" id="_x0000_t202" coordsize="21600,21600" o:spt="202" path="m,l,21600r21600,l21600,xe">
                      <v:stroke joinstyle="miter"/>
                      <v:path gradientshapeok="t" o:connecttype="rect"/>
                    </v:shapetype>
                    <v:shape id="Text Box 2" o:spid="_x0000_s1026" type="#_x0000_t202" style="position:absolute;left:0;text-align:left;margin-left:29.8pt;margin-top:29.75pt;width:83.35pt;height:22.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">
                      <v:textbox>
                        <w:txbxContent>
                          <w:p w14:paraId="473DC5BB" w14:textId="77777777" w:rsidR="003B43CB" w:rsidRPr="0013527B" w:rsidRDefault="003B43CB" w:rsidP="003B43CB">
                            <w:pPr>
                              <w:jc w:val="center"/>
                              <w:rPr>
                                <w:b/>
                                <w:bCs/>
                              </w:rPr>
                            </w:pPr>
                            <w:r w:rsidRPr="0013527B">
                              <w:rPr>
                                <w:b/>
                                <w:bCs/>
                              </w:rPr>
                              <w:t>D</w:t>
                            </w:r>
                            <w:r>
                              <w:rPr>
                                <w:b/>
                                <w:bCs/>
                              </w:rPr>
                              <w:t>Ự</w:t>
                            </w:r>
                            <w:r w:rsidRPr="0013527B">
                              <w:rPr>
                                <w:b/>
                                <w:bCs/>
                              </w:rPr>
                              <w:t xml:space="preserve"> THẢO</w:t>
                            </w:r>
                          </w:p>
                        </w:txbxContent>
                      </v:textbox>
                      <w10:wrap type="square"/>
                    </v:shape>
                  </w:pict>
                </mc:Fallback>
              </mc:AlternateContent>
            </w:r>
            <w:r w:rsidR="003B43CB" w:rsidRPr="007B099C">
              <w:rPr>
                <w:sz w:val="28"/>
                <w:szCs w:val="28"/>
              </w:rPr>
              <w:t>Số:         /202</w:t>
            </w:r>
            <w:r w:rsidR="00615682">
              <w:rPr>
                <w:sz w:val="28"/>
                <w:szCs w:val="28"/>
              </w:rPr>
              <w:t>3</w:t>
            </w:r>
            <w:r w:rsidR="003B43CB" w:rsidRPr="007B099C">
              <w:rPr>
                <w:sz w:val="28"/>
                <w:szCs w:val="28"/>
              </w:rPr>
              <w:t>/TT-BYT</w:t>
            </w:r>
          </w:p>
        </w:tc>
        <w:tc>
          <w:tcPr>
            <w:tcW w:w="6237" w:type="dxa"/>
          </w:tcPr>
          <w:p w14:paraId="0250C6B0" w14:textId="77777777" w:rsidR="003B43CB" w:rsidRPr="007B099C" w:rsidRDefault="003B43CB" w:rsidP="00DB1ECB">
            <w:pPr>
              <w:tabs>
                <w:tab w:val="left" w:pos="720"/>
              </w:tabs>
              <w:jc w:val="center"/>
              <w:rPr>
                <w:i/>
                <w:iCs/>
                <w:sz w:val="28"/>
                <w:szCs w:val="28"/>
              </w:rPr>
            </w:pPr>
            <w:r w:rsidRPr="007B099C">
              <w:rPr>
                <w:i/>
                <w:iCs/>
                <w:sz w:val="28"/>
                <w:szCs w:val="28"/>
              </w:rPr>
              <w:t>Hà Nội, ngày        tháng     năm 202</w:t>
            </w:r>
            <w:r>
              <w:rPr>
                <w:i/>
                <w:iCs/>
                <w:sz w:val="28"/>
                <w:szCs w:val="28"/>
              </w:rPr>
              <w:t>3</w:t>
            </w:r>
          </w:p>
        </w:tc>
      </w:tr>
    </w:tbl>
    <w:p w14:paraId="70083038" w14:textId="77777777" w:rsidR="003B43CB" w:rsidRPr="0013527B" w:rsidRDefault="003B43CB" w:rsidP="003B43CB">
      <w:pPr>
        <w:tabs>
          <w:tab w:val="left" w:pos="720"/>
        </w:tabs>
        <w:jc w:val="center"/>
        <w:rPr>
          <w:b/>
          <w:bCs/>
        </w:rPr>
      </w:pPr>
      <w:r w:rsidRPr="007B099C">
        <w:rPr>
          <w:b/>
          <w:bCs/>
          <w:sz w:val="28"/>
          <w:szCs w:val="28"/>
        </w:rPr>
        <w:t>THÔNG TƯ</w:t>
      </w:r>
    </w:p>
    <w:p w14:paraId="052EBC6C" w14:textId="77777777" w:rsidR="003B43CB" w:rsidRDefault="003B43CB" w:rsidP="003B43CB">
      <w:pPr>
        <w:jc w:val="center"/>
        <w:rPr>
          <w:b/>
          <w:sz w:val="28"/>
          <w:szCs w:val="28"/>
          <w:lang w:val="pl-PL"/>
        </w:rPr>
      </w:pPr>
      <w:r>
        <w:rPr>
          <w:b/>
          <w:sz w:val="28"/>
          <w:szCs w:val="28"/>
          <w:lang w:val="pl-PL"/>
        </w:rPr>
        <w:t>Ban hành n</w:t>
      </w:r>
      <w:r w:rsidRPr="00960A0A">
        <w:rPr>
          <w:b/>
          <w:sz w:val="28"/>
          <w:szCs w:val="28"/>
          <w:lang w:val="pl-PL"/>
        </w:rPr>
        <w:t xml:space="preserve">guyên tắc, </w:t>
      </w:r>
      <w:r>
        <w:rPr>
          <w:b/>
          <w:sz w:val="28"/>
          <w:szCs w:val="28"/>
          <w:lang w:val="pl-PL"/>
        </w:rPr>
        <w:t>t</w:t>
      </w:r>
      <w:r w:rsidRPr="00960A0A">
        <w:rPr>
          <w:b/>
          <w:sz w:val="28"/>
          <w:szCs w:val="28"/>
          <w:lang w:val="pl-PL"/>
        </w:rPr>
        <w:t xml:space="preserve">iêu chí xây dựng </w:t>
      </w:r>
      <w:r w:rsidRPr="00A73611">
        <w:rPr>
          <w:b/>
          <w:sz w:val="28"/>
          <w:szCs w:val="28"/>
          <w:lang w:val="pl-PL"/>
        </w:rPr>
        <w:t xml:space="preserve">Danh mục và tỷ lệ, điều kiện </w:t>
      </w:r>
      <w:r>
        <w:rPr>
          <w:b/>
          <w:sz w:val="28"/>
          <w:szCs w:val="28"/>
          <w:lang w:val="pl-PL"/>
        </w:rPr>
        <w:t xml:space="preserve">  </w:t>
      </w:r>
      <w:r w:rsidRPr="00A73611">
        <w:rPr>
          <w:b/>
          <w:sz w:val="28"/>
          <w:szCs w:val="28"/>
          <w:lang w:val="pl-PL"/>
        </w:rPr>
        <w:t>thanh toán đối với thuốc hóa dược, sinh phẩm, thuốc phóng xạ và chất đánh dấu thuộc phạm vi được hưởng của người tham gia bảo hiểm y tế</w:t>
      </w:r>
    </w:p>
    <w:p w14:paraId="6CFF3A3F" w14:textId="77777777" w:rsidR="003B43CB" w:rsidRPr="008F6F53" w:rsidRDefault="003B43CB" w:rsidP="003B43CB">
      <w:pPr>
        <w:tabs>
          <w:tab w:val="left" w:pos="720"/>
        </w:tabs>
        <w:jc w:val="center"/>
        <w:rPr>
          <w:rFonts w:eastAsia="Arial"/>
          <w:i/>
          <w:noProof/>
          <w:sz w:val="28"/>
          <w:szCs w:val="28"/>
          <w:vertAlign w:val="superscript"/>
        </w:rPr>
      </w:pPr>
      <w:r w:rsidRPr="008F6F53">
        <w:rPr>
          <w:rStyle w:val="fontstyle01"/>
          <w:b/>
          <w:bCs/>
          <w:vertAlign w:val="superscript"/>
        </w:rPr>
        <w:t>_____________________</w:t>
      </w:r>
    </w:p>
    <w:p w14:paraId="166A79E0" w14:textId="77777777" w:rsidR="003B43CB" w:rsidRPr="007B099C" w:rsidRDefault="003B43CB" w:rsidP="003B43CB">
      <w:pPr>
        <w:tabs>
          <w:tab w:val="left" w:pos="720"/>
          <w:tab w:val="left" w:pos="6663"/>
        </w:tabs>
        <w:spacing w:before="120" w:line="264" w:lineRule="auto"/>
        <w:ind w:firstLine="720"/>
        <w:jc w:val="both"/>
        <w:rPr>
          <w:i/>
          <w:sz w:val="28"/>
          <w:szCs w:val="28"/>
          <w:lang w:val="pt-BR"/>
        </w:rPr>
      </w:pPr>
      <w:r w:rsidRPr="007B099C">
        <w:rPr>
          <w:rFonts w:eastAsia="Arial"/>
          <w:i/>
          <w:noProof/>
          <w:spacing w:val="2"/>
          <w:sz w:val="28"/>
          <w:szCs w:val="28"/>
        </w:rPr>
        <w:t>Căn cứ Luật bảo hiểm y tế số 25/2008/QH12 ngày 14 tháng 11 năm 2008 đã được sửa đổi, bổ sung một số điều theo Luật số 46/2014/QH13 ngày 13 tháng 6 năm 2014</w:t>
      </w:r>
      <w:r w:rsidRPr="007B099C">
        <w:rPr>
          <w:rFonts w:eastAsia="Arial"/>
          <w:i/>
          <w:noProof/>
          <w:sz w:val="28"/>
          <w:szCs w:val="28"/>
        </w:rPr>
        <w:t>;</w:t>
      </w:r>
    </w:p>
    <w:p w14:paraId="0DD24AF0" w14:textId="77777777" w:rsidR="003B43CB" w:rsidRPr="007B099C" w:rsidRDefault="003B43CB" w:rsidP="003B43CB">
      <w:pPr>
        <w:tabs>
          <w:tab w:val="left" w:pos="720"/>
          <w:tab w:val="left" w:pos="6663"/>
        </w:tabs>
        <w:spacing w:before="120" w:line="264" w:lineRule="auto"/>
        <w:ind w:firstLine="720"/>
        <w:jc w:val="both"/>
        <w:rPr>
          <w:i/>
          <w:sz w:val="28"/>
          <w:szCs w:val="28"/>
          <w:lang w:val="pt-BR"/>
        </w:rPr>
      </w:pPr>
      <w:r w:rsidRPr="007B099C">
        <w:rPr>
          <w:i/>
          <w:spacing w:val="-4"/>
          <w:sz w:val="28"/>
          <w:szCs w:val="28"/>
          <w:lang w:val="pt-BR"/>
        </w:rPr>
        <w:t xml:space="preserve">Căn cứ Nghị định số 95/2022/NĐ-CP </w:t>
      </w:r>
      <w:r w:rsidRPr="007B099C">
        <w:rPr>
          <w:i/>
          <w:spacing w:val="-4"/>
          <w:sz w:val="28"/>
          <w:szCs w:val="28"/>
          <w:lang w:val="nl-NL"/>
        </w:rPr>
        <w:t>ngày 15</w:t>
      </w:r>
      <w:r w:rsidRPr="007B099C">
        <w:rPr>
          <w:i/>
          <w:spacing w:val="-4"/>
          <w:sz w:val="28"/>
          <w:szCs w:val="28"/>
          <w:lang w:val="pt-BR"/>
        </w:rPr>
        <w:t xml:space="preserve"> tháng 11 năm </w:t>
      </w:r>
      <w:r w:rsidRPr="007B099C">
        <w:rPr>
          <w:i/>
          <w:spacing w:val="-4"/>
          <w:sz w:val="28"/>
          <w:szCs w:val="28"/>
          <w:lang w:val="nl-NL"/>
        </w:rPr>
        <w:t xml:space="preserve">2022 của Chính </w:t>
      </w:r>
      <w:r w:rsidRPr="007B099C">
        <w:rPr>
          <w:i/>
          <w:sz w:val="28"/>
          <w:szCs w:val="28"/>
          <w:lang w:val="nl-NL"/>
        </w:rPr>
        <w:t>phủ</w:t>
      </w:r>
      <w:r w:rsidRPr="007B099C">
        <w:rPr>
          <w:i/>
          <w:sz w:val="28"/>
          <w:szCs w:val="28"/>
          <w:lang w:val="pt-BR"/>
        </w:rPr>
        <w:t xml:space="preserve"> quy định chức năng, nhiệm vụ, quyền hạn và cơ cấu tổ chức của Bộ Y tế;</w:t>
      </w:r>
    </w:p>
    <w:p w14:paraId="57919461" w14:textId="77777777" w:rsidR="003B43CB" w:rsidRPr="007B099C" w:rsidRDefault="003B43CB" w:rsidP="003B43CB">
      <w:pPr>
        <w:tabs>
          <w:tab w:val="left" w:pos="720"/>
          <w:tab w:val="left" w:pos="6663"/>
        </w:tabs>
        <w:spacing w:before="120" w:line="264" w:lineRule="auto"/>
        <w:ind w:firstLine="720"/>
        <w:jc w:val="both"/>
        <w:rPr>
          <w:i/>
          <w:sz w:val="28"/>
          <w:szCs w:val="28"/>
          <w:lang w:val="pt-BR"/>
        </w:rPr>
      </w:pPr>
      <w:r w:rsidRPr="007B099C">
        <w:rPr>
          <w:i/>
          <w:sz w:val="28"/>
          <w:szCs w:val="28"/>
          <w:lang w:val="pt-BR"/>
        </w:rPr>
        <w:t>Căn cứ Nghị định số 146/2018/NĐ-CP ngày 17 tháng 10 năm 2018 của Chính phủ quy định chi tiết và hướng dẫn biện pháp thi hành một số điều của Luật bảo hiểm y tế;</w:t>
      </w:r>
    </w:p>
    <w:p w14:paraId="2F201B17" w14:textId="1E4CBD25" w:rsidR="003B43CB" w:rsidRPr="007B099C" w:rsidRDefault="003B43CB" w:rsidP="003B43CB">
      <w:pPr>
        <w:tabs>
          <w:tab w:val="left" w:pos="720"/>
          <w:tab w:val="left" w:pos="6663"/>
        </w:tabs>
        <w:spacing w:before="120" w:line="264" w:lineRule="auto"/>
        <w:ind w:firstLine="720"/>
        <w:jc w:val="both"/>
        <w:rPr>
          <w:i/>
          <w:sz w:val="28"/>
          <w:szCs w:val="28"/>
          <w:lang w:val="pt-BR"/>
        </w:rPr>
      </w:pPr>
      <w:r w:rsidRPr="007B099C">
        <w:rPr>
          <w:i/>
          <w:sz w:val="28"/>
          <w:szCs w:val="28"/>
          <w:lang w:val="pt-BR"/>
        </w:rPr>
        <w:t>Theo đề nghị của Vụ trưởng Vụ Bảo hiểm y tế, Bộ Y tế,</w:t>
      </w:r>
    </w:p>
    <w:p w14:paraId="7DBC0FCD" w14:textId="1AE3B8CB" w:rsidR="003B43CB" w:rsidRPr="003B43CB" w:rsidRDefault="003B43CB" w:rsidP="003B43CB">
      <w:pPr>
        <w:tabs>
          <w:tab w:val="left" w:pos="720"/>
        </w:tabs>
        <w:spacing w:before="120" w:line="264" w:lineRule="auto"/>
        <w:ind w:firstLine="720"/>
        <w:jc w:val="both"/>
        <w:rPr>
          <w:rStyle w:val="fontstyle21"/>
          <w:i w:val="0"/>
          <w:iCs w:val="0"/>
          <w:lang w:val="pt-BR"/>
        </w:rPr>
      </w:pPr>
      <w:r w:rsidRPr="00545A00">
        <w:rPr>
          <w:rStyle w:val="fontstyle21"/>
          <w:lang w:val="pt-BR"/>
        </w:rPr>
        <w:t>Bộ trưởng Bộ Y tế ban hành</w:t>
      </w:r>
      <w:r>
        <w:rPr>
          <w:rStyle w:val="fontstyle21"/>
          <w:lang w:val="pt-BR"/>
        </w:rPr>
        <w:t xml:space="preserve"> Thông tư</w:t>
      </w:r>
      <w:r w:rsidRPr="003B43CB">
        <w:rPr>
          <w:rStyle w:val="fontstyle21"/>
          <w:lang w:val="pt-BR"/>
        </w:rPr>
        <w:t xml:space="preserve"> </w:t>
      </w:r>
      <w:r>
        <w:rPr>
          <w:rStyle w:val="fontstyle21"/>
          <w:lang w:val="pt-BR"/>
        </w:rPr>
        <w:t>b</w:t>
      </w:r>
      <w:r w:rsidRPr="003B43CB">
        <w:rPr>
          <w:i/>
          <w:iCs/>
          <w:sz w:val="28"/>
          <w:szCs w:val="28"/>
          <w:lang w:val="pl-PL"/>
        </w:rPr>
        <w:t>an hành nguyên tắc</w:t>
      </w:r>
      <w:r w:rsidR="002936DB">
        <w:rPr>
          <w:i/>
          <w:iCs/>
          <w:sz w:val="28"/>
          <w:szCs w:val="28"/>
          <w:lang w:val="pl-PL"/>
        </w:rPr>
        <w:t>,</w:t>
      </w:r>
      <w:r w:rsidRPr="003B43CB">
        <w:rPr>
          <w:i/>
          <w:iCs/>
          <w:sz w:val="28"/>
          <w:szCs w:val="28"/>
          <w:lang w:val="pl-PL"/>
        </w:rPr>
        <w:t xml:space="preserve"> tiêu chí xây dựng Danh mục và tỷ lệ, điều kiện thanh toán đối với thuốc </w:t>
      </w:r>
      <w:r w:rsidRPr="003B43CB">
        <w:rPr>
          <w:bCs/>
          <w:i/>
          <w:iCs/>
          <w:sz w:val="28"/>
          <w:szCs w:val="28"/>
          <w:lang w:val="pl-PL"/>
        </w:rPr>
        <w:t>hóa dược, sinh phẩm, thuốc phóng xạ và chất đánh dấu thuộc</w:t>
      </w:r>
      <w:r w:rsidRPr="003B43CB">
        <w:rPr>
          <w:i/>
          <w:iCs/>
          <w:sz w:val="28"/>
          <w:szCs w:val="28"/>
          <w:lang w:val="pl-PL"/>
        </w:rPr>
        <w:t xml:space="preserve"> phạm vi được hưởng của người tham gia bảo hiểm y tế</w:t>
      </w:r>
    </w:p>
    <w:p w14:paraId="32B7327F" w14:textId="77777777" w:rsidR="006C510C" w:rsidRPr="006C510C" w:rsidRDefault="006C510C" w:rsidP="00A47827">
      <w:pPr>
        <w:widowControl w:val="0"/>
        <w:spacing w:before="240"/>
        <w:ind w:firstLine="601"/>
        <w:jc w:val="both"/>
        <w:rPr>
          <w:b/>
          <w:sz w:val="28"/>
          <w:szCs w:val="28"/>
          <w:lang w:val="pl-PL"/>
        </w:rPr>
      </w:pPr>
      <w:r w:rsidRPr="006C510C">
        <w:rPr>
          <w:b/>
          <w:sz w:val="28"/>
          <w:szCs w:val="28"/>
          <w:lang w:val="pl-PL"/>
        </w:rPr>
        <w:t>Điều 1. Nguyên tắc xây dựng danh mục thuốc hóa dược, sinh phẩm, thuốc phóng xạ và chất đánh dấu thuộc phạm vi được hưởng của người tham gia bảo hiểm y tế (</w:t>
      </w:r>
      <w:r>
        <w:rPr>
          <w:b/>
          <w:sz w:val="28"/>
          <w:szCs w:val="28"/>
          <w:lang w:val="pl-PL"/>
        </w:rPr>
        <w:t>sau đây gọi tắt là Danh mục thuốc</w:t>
      </w:r>
      <w:r w:rsidRPr="006C510C">
        <w:rPr>
          <w:b/>
          <w:sz w:val="28"/>
          <w:szCs w:val="28"/>
          <w:lang w:val="pl-PL"/>
        </w:rPr>
        <w:t>)</w:t>
      </w:r>
    </w:p>
    <w:p w14:paraId="3918F1E7" w14:textId="77777777" w:rsidR="006C510C" w:rsidRPr="00615682" w:rsidRDefault="006C510C" w:rsidP="006C510C">
      <w:pPr>
        <w:pStyle w:val="ListParagraph"/>
        <w:widowControl w:val="0"/>
        <w:numPr>
          <w:ilvl w:val="0"/>
          <w:numId w:val="5"/>
        </w:numPr>
        <w:spacing w:before="120" w:after="0" w:line="240" w:lineRule="auto"/>
        <w:contextualSpacing w:val="0"/>
        <w:rPr>
          <w:bCs/>
          <w:szCs w:val="28"/>
        </w:rPr>
      </w:pPr>
      <w:r w:rsidRPr="00615682">
        <w:rPr>
          <w:bCs/>
          <w:szCs w:val="28"/>
        </w:rPr>
        <w:t>Nguyên tắc chung</w:t>
      </w:r>
    </w:p>
    <w:p w14:paraId="0D04F480" w14:textId="01010571" w:rsidR="006C510C" w:rsidRPr="006C510C" w:rsidRDefault="006C510C" w:rsidP="006C510C">
      <w:pPr>
        <w:widowControl w:val="0"/>
        <w:spacing w:before="120"/>
        <w:ind w:firstLine="601"/>
        <w:jc w:val="both"/>
        <w:rPr>
          <w:sz w:val="28"/>
          <w:szCs w:val="28"/>
        </w:rPr>
      </w:pPr>
      <w:r w:rsidRPr="006C510C">
        <w:rPr>
          <w:sz w:val="28"/>
          <w:szCs w:val="28"/>
        </w:rPr>
        <w:t>a) Phù hợp và thúc đẩy thực hiện chính sách sử dụng thuốc hợp lý, an toàn, hiệu quả, kinh tế</w:t>
      </w:r>
      <w:r w:rsidR="00E871A6">
        <w:rPr>
          <w:sz w:val="28"/>
          <w:szCs w:val="28"/>
        </w:rPr>
        <w:t>;</w:t>
      </w:r>
    </w:p>
    <w:p w14:paraId="12249437" w14:textId="1F3A8117" w:rsidR="006C510C" w:rsidRPr="006C510C" w:rsidRDefault="006C510C" w:rsidP="006C510C">
      <w:pPr>
        <w:widowControl w:val="0"/>
        <w:spacing w:before="120"/>
        <w:ind w:firstLine="601"/>
        <w:jc w:val="both"/>
        <w:rPr>
          <w:sz w:val="28"/>
          <w:szCs w:val="28"/>
        </w:rPr>
      </w:pPr>
      <w:r w:rsidRPr="006C510C">
        <w:rPr>
          <w:sz w:val="28"/>
          <w:szCs w:val="28"/>
        </w:rPr>
        <w:t xml:space="preserve">b) </w:t>
      </w:r>
      <w:r w:rsidR="00D91D97">
        <w:rPr>
          <w:sz w:val="28"/>
          <w:szCs w:val="28"/>
        </w:rPr>
        <w:t>Lấy người bệnh làm trung tâm, đ</w:t>
      </w:r>
      <w:r w:rsidRPr="006C510C">
        <w:rPr>
          <w:sz w:val="28"/>
          <w:szCs w:val="28"/>
        </w:rPr>
        <w:t>áp ứng nhu cầu điều trị, phù hợp với cơ cấu bệnh tật, bảo đảm quyền lợi của người tham gia BHYT</w:t>
      </w:r>
      <w:r w:rsidR="00E871A6">
        <w:rPr>
          <w:sz w:val="28"/>
          <w:szCs w:val="28"/>
        </w:rPr>
        <w:t>;</w:t>
      </w:r>
    </w:p>
    <w:p w14:paraId="2056C0EC" w14:textId="22771C4F" w:rsidR="006C510C" w:rsidRPr="006C510C" w:rsidRDefault="006C510C" w:rsidP="006C510C">
      <w:pPr>
        <w:widowControl w:val="0"/>
        <w:spacing w:before="120"/>
        <w:ind w:firstLine="601"/>
        <w:jc w:val="both"/>
        <w:rPr>
          <w:sz w:val="28"/>
          <w:szCs w:val="28"/>
        </w:rPr>
      </w:pPr>
      <w:r w:rsidRPr="006C510C">
        <w:rPr>
          <w:sz w:val="28"/>
          <w:szCs w:val="28"/>
        </w:rPr>
        <w:t>c) Bảo đảm khả năng chi trả của quỹ BHYT trong từng giai đoạn, bảo đảm công khai minh bạch</w:t>
      </w:r>
      <w:r w:rsidR="00E871A6">
        <w:rPr>
          <w:sz w:val="28"/>
          <w:szCs w:val="28"/>
        </w:rPr>
        <w:t>;</w:t>
      </w:r>
    </w:p>
    <w:p w14:paraId="3B33E764" w14:textId="4E85D695" w:rsidR="006C510C" w:rsidRPr="006C510C" w:rsidRDefault="006C510C" w:rsidP="006C510C">
      <w:pPr>
        <w:widowControl w:val="0"/>
        <w:spacing w:before="120"/>
        <w:ind w:firstLine="601"/>
        <w:jc w:val="both"/>
        <w:rPr>
          <w:sz w:val="28"/>
          <w:szCs w:val="28"/>
        </w:rPr>
      </w:pPr>
      <w:r w:rsidRPr="006C510C">
        <w:rPr>
          <w:sz w:val="28"/>
          <w:szCs w:val="28"/>
        </w:rPr>
        <w:t>d) Kế thừa các Danh mục thuốc hóa dược, sinh phẩm, thuốc phóng xạ và chất đánh dấu thuộc phạm vi được hưởng của người tham gia bảo hiểm y tế</w:t>
      </w:r>
      <w:r w:rsidR="00E871A6">
        <w:rPr>
          <w:sz w:val="28"/>
          <w:szCs w:val="28"/>
        </w:rPr>
        <w:t>;</w:t>
      </w:r>
    </w:p>
    <w:p w14:paraId="5140B002" w14:textId="77777777" w:rsidR="006C510C" w:rsidRPr="006C510C" w:rsidRDefault="006C510C" w:rsidP="006C510C">
      <w:pPr>
        <w:widowControl w:val="0"/>
        <w:spacing w:before="120"/>
        <w:ind w:firstLine="601"/>
        <w:jc w:val="both"/>
        <w:rPr>
          <w:sz w:val="28"/>
          <w:szCs w:val="28"/>
        </w:rPr>
      </w:pPr>
      <w:r w:rsidRPr="006C510C">
        <w:rPr>
          <w:sz w:val="28"/>
          <w:szCs w:val="28"/>
        </w:rPr>
        <w:t xml:space="preserve">đ) Tham khảo Danh mục thuốc thiết yếu của Việt Nam và của Tổ chức Y tế Thế giới </w:t>
      </w:r>
      <w:r w:rsidR="00F00789" w:rsidRPr="006C510C">
        <w:rPr>
          <w:sz w:val="28"/>
          <w:szCs w:val="28"/>
        </w:rPr>
        <w:t xml:space="preserve">(WHO) </w:t>
      </w:r>
      <w:r w:rsidRPr="006C510C">
        <w:rPr>
          <w:sz w:val="28"/>
          <w:szCs w:val="28"/>
        </w:rPr>
        <w:t>hiện hành.</w:t>
      </w:r>
    </w:p>
    <w:p w14:paraId="39AD1DE9" w14:textId="77777777" w:rsidR="006C510C" w:rsidRPr="00615682" w:rsidRDefault="006C510C" w:rsidP="006C510C">
      <w:pPr>
        <w:widowControl w:val="0"/>
        <w:spacing w:before="120"/>
        <w:ind w:firstLine="601"/>
        <w:jc w:val="both"/>
        <w:rPr>
          <w:bCs/>
          <w:sz w:val="28"/>
          <w:szCs w:val="28"/>
        </w:rPr>
      </w:pPr>
      <w:r w:rsidRPr="00615682">
        <w:rPr>
          <w:bCs/>
          <w:sz w:val="28"/>
          <w:szCs w:val="28"/>
        </w:rPr>
        <w:lastRenderedPageBreak/>
        <w:t xml:space="preserve">2. Nguyên tắc ghi tên thuốc trong Danh mục </w:t>
      </w:r>
      <w:r w:rsidRPr="00615682">
        <w:rPr>
          <w:bCs/>
          <w:sz w:val="28"/>
          <w:szCs w:val="28"/>
          <w:lang w:val="pl-PL"/>
        </w:rPr>
        <w:t xml:space="preserve">thuốc </w:t>
      </w:r>
    </w:p>
    <w:p w14:paraId="41613DAD" w14:textId="77777777" w:rsidR="006C510C" w:rsidRPr="006C510C" w:rsidRDefault="006C510C" w:rsidP="006C510C">
      <w:pPr>
        <w:widowControl w:val="0"/>
        <w:spacing w:before="120"/>
        <w:ind w:firstLine="601"/>
        <w:jc w:val="both"/>
        <w:rPr>
          <w:sz w:val="28"/>
          <w:szCs w:val="28"/>
        </w:rPr>
      </w:pPr>
      <w:r w:rsidRPr="006C510C">
        <w:rPr>
          <w:sz w:val="28"/>
          <w:szCs w:val="28"/>
        </w:rPr>
        <w:t>a) Thuốc được ghi theo tên hoạt chất theo thứ tự ưu tiên như sau:</w:t>
      </w:r>
    </w:p>
    <w:p w14:paraId="4A87DB02" w14:textId="77777777" w:rsidR="006C510C" w:rsidRPr="006C510C" w:rsidRDefault="006C510C" w:rsidP="006C510C">
      <w:pPr>
        <w:widowControl w:val="0"/>
        <w:spacing w:before="120"/>
        <w:ind w:firstLine="601"/>
        <w:jc w:val="both"/>
        <w:rPr>
          <w:sz w:val="28"/>
          <w:szCs w:val="28"/>
        </w:rPr>
      </w:pPr>
      <w:r w:rsidRPr="006C510C">
        <w:rPr>
          <w:sz w:val="28"/>
          <w:szCs w:val="28"/>
        </w:rPr>
        <w:t xml:space="preserve">- Tên chung quốc tế (International Non-proprietary Name - viết tắt là INN); </w:t>
      </w:r>
    </w:p>
    <w:p w14:paraId="58E9A84D" w14:textId="77777777" w:rsidR="006C510C" w:rsidRPr="006C510C" w:rsidRDefault="006C510C" w:rsidP="006C510C">
      <w:pPr>
        <w:widowControl w:val="0"/>
        <w:spacing w:before="120"/>
        <w:ind w:firstLine="601"/>
        <w:jc w:val="both"/>
        <w:rPr>
          <w:sz w:val="28"/>
          <w:szCs w:val="28"/>
        </w:rPr>
      </w:pPr>
      <w:r w:rsidRPr="006C510C">
        <w:rPr>
          <w:sz w:val="28"/>
          <w:szCs w:val="28"/>
        </w:rPr>
        <w:t xml:space="preserve">- Tên hoạt chất được cấp phép lưu hành; </w:t>
      </w:r>
    </w:p>
    <w:p w14:paraId="16EA843E" w14:textId="77777777" w:rsidR="006C510C" w:rsidRPr="006C510C" w:rsidRDefault="006C510C" w:rsidP="006C510C">
      <w:pPr>
        <w:widowControl w:val="0"/>
        <w:spacing w:before="120"/>
        <w:ind w:firstLine="601"/>
        <w:jc w:val="both"/>
        <w:rPr>
          <w:sz w:val="28"/>
          <w:szCs w:val="28"/>
        </w:rPr>
      </w:pPr>
      <w:r w:rsidRPr="006C510C">
        <w:rPr>
          <w:sz w:val="28"/>
          <w:szCs w:val="28"/>
        </w:rPr>
        <w:t xml:space="preserve">- Tên hoạt chất trong hướng dẫn chẩn đoán, điều trị của Bộ Y tế; </w:t>
      </w:r>
    </w:p>
    <w:p w14:paraId="3DDFF213" w14:textId="77777777" w:rsidR="006C510C" w:rsidRPr="006C510C" w:rsidRDefault="006C510C" w:rsidP="006C510C">
      <w:pPr>
        <w:widowControl w:val="0"/>
        <w:spacing w:before="120"/>
        <w:ind w:firstLine="601"/>
        <w:jc w:val="both"/>
        <w:rPr>
          <w:sz w:val="28"/>
          <w:szCs w:val="28"/>
        </w:rPr>
      </w:pPr>
      <w:r w:rsidRPr="006C510C">
        <w:rPr>
          <w:sz w:val="28"/>
          <w:szCs w:val="28"/>
        </w:rPr>
        <w:t xml:space="preserve">b) Chỉ ghi đường dùng, </w:t>
      </w:r>
      <w:r w:rsidRPr="006C510C">
        <w:rPr>
          <w:sz w:val="28"/>
          <w:szCs w:val="28"/>
          <w:shd w:val="clear" w:color="auto" w:fill="FFFFFF"/>
        </w:rPr>
        <w:t>dạng dùng (cách sử dụng) của thuốc;</w:t>
      </w:r>
      <w:r w:rsidRPr="006C510C">
        <w:rPr>
          <w:sz w:val="28"/>
          <w:szCs w:val="28"/>
        </w:rPr>
        <w:t xml:space="preserve"> không ghi hàm lượng, không ghi dạng bào chế;</w:t>
      </w:r>
    </w:p>
    <w:p w14:paraId="53569B8B" w14:textId="77777777" w:rsidR="006C510C" w:rsidRPr="006C510C" w:rsidRDefault="006C510C" w:rsidP="006C510C">
      <w:pPr>
        <w:widowControl w:val="0"/>
        <w:spacing w:before="120"/>
        <w:ind w:firstLine="601"/>
        <w:jc w:val="both"/>
        <w:rPr>
          <w:sz w:val="28"/>
          <w:szCs w:val="28"/>
        </w:rPr>
      </w:pPr>
      <w:r w:rsidRPr="006C510C">
        <w:rPr>
          <w:sz w:val="28"/>
          <w:szCs w:val="28"/>
        </w:rPr>
        <w:t>c) Trường hợp thuốc phối hợp đa thành phần: Quy định cụ thể thành phần các hoạt chất phối hợp (trừ một số thuốc cho ghi thành phần theo tên nhóm hoạt chất).</w:t>
      </w:r>
    </w:p>
    <w:p w14:paraId="3C99F8C4" w14:textId="77777777" w:rsidR="006C510C" w:rsidRPr="006C510C" w:rsidRDefault="00615682" w:rsidP="006C510C">
      <w:pPr>
        <w:widowControl w:val="0"/>
        <w:spacing w:before="120"/>
        <w:ind w:firstLine="601"/>
        <w:jc w:val="both"/>
        <w:rPr>
          <w:b/>
          <w:sz w:val="28"/>
          <w:szCs w:val="28"/>
        </w:rPr>
      </w:pPr>
      <w:r>
        <w:rPr>
          <w:b/>
          <w:sz w:val="28"/>
          <w:szCs w:val="28"/>
        </w:rPr>
        <w:t>Điều 2</w:t>
      </w:r>
      <w:r w:rsidR="006C510C" w:rsidRPr="006C510C">
        <w:rPr>
          <w:b/>
          <w:sz w:val="28"/>
          <w:szCs w:val="28"/>
        </w:rPr>
        <w:t>. Tiêu chí để loại thuốc ra khỏi Danh mục thuốc</w:t>
      </w:r>
    </w:p>
    <w:p w14:paraId="79E945CD" w14:textId="77777777" w:rsidR="006C510C" w:rsidRPr="006C510C" w:rsidRDefault="00615682" w:rsidP="006C510C">
      <w:pPr>
        <w:widowControl w:val="0"/>
        <w:spacing w:before="120"/>
        <w:ind w:firstLine="601"/>
        <w:jc w:val="both"/>
        <w:rPr>
          <w:sz w:val="28"/>
          <w:szCs w:val="28"/>
        </w:rPr>
      </w:pPr>
      <w:r>
        <w:rPr>
          <w:sz w:val="28"/>
          <w:szCs w:val="28"/>
        </w:rPr>
        <w:t>1.</w:t>
      </w:r>
      <w:r w:rsidR="006C510C" w:rsidRPr="006C510C">
        <w:rPr>
          <w:sz w:val="28"/>
          <w:szCs w:val="28"/>
        </w:rPr>
        <w:t xml:space="preserve"> Thuốc thuộc một trong những trường hợp sau sẽ loại ra khỏi Danh mục thuốc:</w:t>
      </w:r>
    </w:p>
    <w:p w14:paraId="0527B812" w14:textId="77777777" w:rsidR="006C510C" w:rsidRPr="006C510C" w:rsidRDefault="00615682" w:rsidP="006C510C">
      <w:pPr>
        <w:widowControl w:val="0"/>
        <w:spacing w:before="120"/>
        <w:ind w:firstLine="601"/>
        <w:jc w:val="both"/>
        <w:rPr>
          <w:i/>
          <w:sz w:val="28"/>
          <w:szCs w:val="28"/>
          <w:lang w:val="vi-VN"/>
        </w:rPr>
      </w:pPr>
      <w:r>
        <w:rPr>
          <w:sz w:val="28"/>
          <w:szCs w:val="28"/>
        </w:rPr>
        <w:t>a)</w:t>
      </w:r>
      <w:r w:rsidR="006C510C" w:rsidRPr="006C510C">
        <w:rPr>
          <w:sz w:val="28"/>
          <w:szCs w:val="28"/>
        </w:rPr>
        <w:t xml:space="preserve"> Thuốc không còn được </w:t>
      </w:r>
      <w:r w:rsidR="0034423D">
        <w:rPr>
          <w:sz w:val="28"/>
          <w:szCs w:val="28"/>
        </w:rPr>
        <w:t>cấp phép lưu hành hoặc cấp phép nhập khẩu</w:t>
      </w:r>
      <w:r w:rsidR="006C510C" w:rsidRPr="006C510C">
        <w:rPr>
          <w:sz w:val="28"/>
          <w:szCs w:val="28"/>
        </w:rPr>
        <w:t xml:space="preserve"> tại Việt Nam (tại thời điểm rà soát Danh mục</w:t>
      </w:r>
      <w:r w:rsidR="00734489">
        <w:rPr>
          <w:sz w:val="28"/>
          <w:szCs w:val="28"/>
        </w:rPr>
        <w:t xml:space="preserve"> thuốc</w:t>
      </w:r>
      <w:r w:rsidR="006C510C" w:rsidRPr="006C510C">
        <w:rPr>
          <w:sz w:val="28"/>
          <w:szCs w:val="28"/>
        </w:rPr>
        <w:t>) trừ trường hợp là thuốc cấp cứu, thuốc chống độc, thuốc hiếm</w:t>
      </w:r>
      <w:r w:rsidR="006C510C" w:rsidRPr="006C510C">
        <w:rPr>
          <w:sz w:val="28"/>
          <w:szCs w:val="28"/>
          <w:lang w:val="pl-PL"/>
        </w:rPr>
        <w:t xml:space="preserve"> thuốc phóng xạ và chất đánh dấu</w:t>
      </w:r>
      <w:r w:rsidR="006C510C" w:rsidRPr="006C510C">
        <w:rPr>
          <w:sz w:val="28"/>
          <w:szCs w:val="28"/>
        </w:rPr>
        <w:t>, chế phẩm máu, oxy dược dụng và nitric oxid;</w:t>
      </w:r>
    </w:p>
    <w:p w14:paraId="5FCD41E9" w14:textId="77777777" w:rsidR="006C510C" w:rsidRPr="006C510C" w:rsidRDefault="00615682" w:rsidP="006C510C">
      <w:pPr>
        <w:widowControl w:val="0"/>
        <w:spacing w:before="120"/>
        <w:ind w:firstLine="601"/>
        <w:jc w:val="both"/>
        <w:rPr>
          <w:bCs/>
          <w:sz w:val="28"/>
          <w:szCs w:val="28"/>
        </w:rPr>
      </w:pPr>
      <w:r>
        <w:rPr>
          <w:bCs/>
          <w:sz w:val="28"/>
          <w:szCs w:val="28"/>
        </w:rPr>
        <w:t>b)</w:t>
      </w:r>
      <w:r w:rsidR="006C510C" w:rsidRPr="006C510C">
        <w:rPr>
          <w:bCs/>
          <w:sz w:val="28"/>
          <w:szCs w:val="28"/>
          <w:lang w:val="vi-VN"/>
        </w:rPr>
        <w:t xml:space="preserve"> Thuốc dược liệu, thuốc cổ truyền</w:t>
      </w:r>
      <w:r w:rsidR="006C510C" w:rsidRPr="006C510C">
        <w:rPr>
          <w:bCs/>
          <w:sz w:val="28"/>
          <w:szCs w:val="28"/>
        </w:rPr>
        <w:t>, thuốc có kết hợp dược chất với các dược liệu;</w:t>
      </w:r>
    </w:p>
    <w:p w14:paraId="60666A66" w14:textId="77777777" w:rsidR="006C510C" w:rsidRPr="006C510C" w:rsidRDefault="00615682" w:rsidP="006C510C">
      <w:pPr>
        <w:widowControl w:val="0"/>
        <w:spacing w:before="120"/>
        <w:ind w:firstLine="600"/>
        <w:jc w:val="both"/>
        <w:rPr>
          <w:sz w:val="28"/>
          <w:szCs w:val="28"/>
        </w:rPr>
      </w:pPr>
      <w:r>
        <w:rPr>
          <w:sz w:val="28"/>
          <w:szCs w:val="28"/>
        </w:rPr>
        <w:t>c)</w:t>
      </w:r>
      <w:r w:rsidR="006C510C" w:rsidRPr="006C510C">
        <w:rPr>
          <w:sz w:val="28"/>
          <w:szCs w:val="28"/>
          <w:lang w:val="vi-VN"/>
        </w:rPr>
        <w:t xml:space="preserve"> Thuốc nằm trong diện khuyến cáo không nên sử dụng </w:t>
      </w:r>
      <w:r w:rsidR="006C510C" w:rsidRPr="006C510C">
        <w:rPr>
          <w:sz w:val="28"/>
          <w:szCs w:val="28"/>
        </w:rPr>
        <w:t>(</w:t>
      </w:r>
      <w:r w:rsidR="006C510C" w:rsidRPr="006C510C">
        <w:rPr>
          <w:bCs/>
          <w:sz w:val="28"/>
          <w:szCs w:val="28"/>
          <w:lang w:val="vi-VN"/>
        </w:rPr>
        <w:t>hiệu quả điều trị không rõ ràng</w:t>
      </w:r>
      <w:r w:rsidR="006C510C" w:rsidRPr="006C510C">
        <w:rPr>
          <w:bCs/>
          <w:sz w:val="28"/>
          <w:szCs w:val="28"/>
        </w:rPr>
        <w:t>, hoặc có khuyến cáo về độ an toàn, hoặc lợi ích không còn vượt trội so với nguy cơ)</w:t>
      </w:r>
      <w:r w:rsidR="006C510C" w:rsidRPr="006C510C">
        <w:rPr>
          <w:sz w:val="28"/>
          <w:szCs w:val="28"/>
          <w:lang w:val="vi-VN"/>
        </w:rPr>
        <w:t xml:space="preserve"> của </w:t>
      </w:r>
      <w:r w:rsidR="004E7D2D">
        <w:rPr>
          <w:sz w:val="28"/>
          <w:szCs w:val="28"/>
        </w:rPr>
        <w:t>WHO</w:t>
      </w:r>
      <w:r w:rsidR="006C510C" w:rsidRPr="006C510C">
        <w:rPr>
          <w:sz w:val="28"/>
          <w:szCs w:val="28"/>
        </w:rPr>
        <w:t>,</w:t>
      </w:r>
      <w:r w:rsidR="006C510C" w:rsidRPr="006C510C">
        <w:rPr>
          <w:sz w:val="28"/>
          <w:szCs w:val="28"/>
          <w:lang w:val="vi-VN"/>
        </w:rPr>
        <w:t xml:space="preserve"> hoặc Bộ Y tế Việt Nam hoặc cơ quan quản lý dược của các nước</w:t>
      </w:r>
      <w:r w:rsidR="006C510C" w:rsidRPr="006C510C">
        <w:rPr>
          <w:sz w:val="28"/>
          <w:szCs w:val="28"/>
        </w:rPr>
        <w:t>, hoặc</w:t>
      </w:r>
      <w:r w:rsidR="006C510C" w:rsidRPr="006C510C">
        <w:rPr>
          <w:sz w:val="28"/>
          <w:szCs w:val="28"/>
          <w:lang w:val="vi-VN"/>
        </w:rPr>
        <w:t xml:space="preserve"> các hội y khoa, dược khoa có uy tín trên Thế giới</w:t>
      </w:r>
      <w:r w:rsidR="006C510C" w:rsidRPr="006C510C">
        <w:rPr>
          <w:bCs/>
          <w:sz w:val="28"/>
          <w:szCs w:val="28"/>
        </w:rPr>
        <w:t>.</w:t>
      </w:r>
      <w:r w:rsidR="006C510C" w:rsidRPr="006C510C">
        <w:rPr>
          <w:sz w:val="28"/>
          <w:szCs w:val="28"/>
        </w:rPr>
        <w:t xml:space="preserve"> </w:t>
      </w:r>
      <w:r w:rsidR="006C510C" w:rsidRPr="006C510C">
        <w:rPr>
          <w:sz w:val="28"/>
          <w:szCs w:val="28"/>
          <w:lang w:val="pl-PL"/>
        </w:rPr>
        <w:t>Trường hợp thuốc được các đơn vị đề xuất xin giữ lại, căn cứ ý kiến của tiểu ban chuyên môn trên cơ sở đánh giá các bằng chứng nghiên cứu lâm sàng về an toàn, hiệu quả để xem xét.</w:t>
      </w:r>
    </w:p>
    <w:p w14:paraId="540CB454" w14:textId="77777777" w:rsidR="00615682" w:rsidRDefault="00615682" w:rsidP="006C510C">
      <w:pPr>
        <w:widowControl w:val="0"/>
        <w:spacing w:before="120" w:after="120"/>
        <w:ind w:firstLine="601"/>
        <w:jc w:val="both"/>
        <w:rPr>
          <w:bCs/>
          <w:sz w:val="28"/>
          <w:szCs w:val="28"/>
          <w:lang w:val="vi-VN"/>
        </w:rPr>
      </w:pPr>
      <w:r>
        <w:rPr>
          <w:bCs/>
          <w:sz w:val="28"/>
          <w:szCs w:val="28"/>
        </w:rPr>
        <w:t>2.</w:t>
      </w:r>
      <w:r w:rsidR="006C510C" w:rsidRPr="006C510C">
        <w:rPr>
          <w:bCs/>
          <w:sz w:val="28"/>
          <w:szCs w:val="28"/>
          <w:lang w:val="vi-VN"/>
        </w:rPr>
        <w:t xml:space="preserve"> Thuốc dạng phối hợp đa thành phần:</w:t>
      </w:r>
    </w:p>
    <w:p w14:paraId="066EDC3A" w14:textId="77777777" w:rsidR="006C510C" w:rsidRPr="006C510C" w:rsidRDefault="00615682" w:rsidP="006C510C">
      <w:pPr>
        <w:widowControl w:val="0"/>
        <w:spacing w:before="120" w:after="120"/>
        <w:ind w:firstLine="601"/>
        <w:jc w:val="both"/>
        <w:rPr>
          <w:bCs/>
          <w:sz w:val="28"/>
          <w:szCs w:val="28"/>
          <w:lang w:val="vi-VN"/>
        </w:rPr>
      </w:pPr>
      <w:r>
        <w:rPr>
          <w:bCs/>
          <w:sz w:val="28"/>
          <w:szCs w:val="28"/>
        </w:rPr>
        <w:t xml:space="preserve">a) </w:t>
      </w:r>
      <w:r w:rsidR="006C510C" w:rsidRPr="006C510C">
        <w:rPr>
          <w:bCs/>
          <w:sz w:val="28"/>
          <w:szCs w:val="28"/>
          <w:lang w:val="vi-VN"/>
        </w:rPr>
        <w:t xml:space="preserve">Ngoài các tiêu chí loại bỏ </w:t>
      </w:r>
      <w:r>
        <w:rPr>
          <w:bCs/>
          <w:sz w:val="28"/>
          <w:szCs w:val="28"/>
        </w:rPr>
        <w:t xml:space="preserve">tại khoản 1 </w:t>
      </w:r>
      <w:r w:rsidR="00A04BB4">
        <w:rPr>
          <w:bCs/>
          <w:sz w:val="28"/>
          <w:szCs w:val="28"/>
        </w:rPr>
        <w:t>Đ</w:t>
      </w:r>
      <w:r>
        <w:rPr>
          <w:bCs/>
          <w:sz w:val="28"/>
          <w:szCs w:val="28"/>
        </w:rPr>
        <w:t>iều này</w:t>
      </w:r>
      <w:r w:rsidR="006C510C" w:rsidRPr="006C510C">
        <w:rPr>
          <w:bCs/>
          <w:sz w:val="28"/>
          <w:szCs w:val="28"/>
          <w:lang w:val="vi-VN"/>
        </w:rPr>
        <w:t>, các thuốc dạng phối hợp đa thành phần có dạng phối hợp không được được lưu hành tại 9 nước (Anh, Pháp, Đức, Thụy Sỹ, Thụy Điển, Mỹ, Canada, Úc, Nhật) và EMA</w:t>
      </w:r>
      <w:r w:rsidR="00A04BB4" w:rsidRPr="00A04BB4">
        <w:rPr>
          <w:bCs/>
          <w:sz w:val="28"/>
          <w:szCs w:val="28"/>
          <w:lang w:val="vi-VN"/>
        </w:rPr>
        <w:t xml:space="preserve"> </w:t>
      </w:r>
      <w:r w:rsidR="00A04BB4" w:rsidRPr="006C510C">
        <w:rPr>
          <w:bCs/>
          <w:sz w:val="28"/>
          <w:szCs w:val="28"/>
          <w:lang w:val="vi-VN"/>
        </w:rPr>
        <w:t xml:space="preserve">sẽ </w:t>
      </w:r>
      <w:r w:rsidR="00A04BB4" w:rsidRPr="006C510C">
        <w:rPr>
          <w:bCs/>
          <w:sz w:val="28"/>
          <w:szCs w:val="28"/>
        </w:rPr>
        <w:t>bị</w:t>
      </w:r>
      <w:r w:rsidR="00A04BB4" w:rsidRPr="006C510C">
        <w:rPr>
          <w:bCs/>
          <w:sz w:val="28"/>
          <w:szCs w:val="28"/>
          <w:lang w:val="vi-VN"/>
        </w:rPr>
        <w:t xml:space="preserve"> loại bỏ khỏi Danh mục</w:t>
      </w:r>
      <w:r w:rsidR="00A04BB4">
        <w:rPr>
          <w:bCs/>
          <w:sz w:val="28"/>
          <w:szCs w:val="28"/>
        </w:rPr>
        <w:t xml:space="preserve"> thuốc,</w:t>
      </w:r>
      <w:r w:rsidR="006C510C" w:rsidRPr="006C510C">
        <w:rPr>
          <w:bCs/>
          <w:sz w:val="28"/>
          <w:szCs w:val="28"/>
          <w:lang w:val="vi-VN"/>
        </w:rPr>
        <w:t xml:space="preserve"> trừ các thuốc sản xuất tại Việt Nam có bằng chứng khoa học về hiệu quả, an toàn thông qua đề tài cấp nhà nước hoặc cấp Bộ đã được nghiệm thu. </w:t>
      </w:r>
    </w:p>
    <w:p w14:paraId="66034B26" w14:textId="77777777" w:rsidR="006C510C" w:rsidRPr="006C510C" w:rsidRDefault="00A04BB4" w:rsidP="006C510C">
      <w:pPr>
        <w:widowControl w:val="0"/>
        <w:spacing w:before="120" w:after="120"/>
        <w:ind w:firstLine="601"/>
        <w:jc w:val="both"/>
        <w:rPr>
          <w:bCs/>
          <w:sz w:val="28"/>
          <w:szCs w:val="28"/>
          <w:lang w:val="vi-VN"/>
        </w:rPr>
      </w:pPr>
      <w:r>
        <w:rPr>
          <w:bCs/>
          <w:sz w:val="28"/>
          <w:szCs w:val="28"/>
        </w:rPr>
        <w:t xml:space="preserve">b) </w:t>
      </w:r>
      <w:r w:rsidR="006C510C" w:rsidRPr="006C510C">
        <w:rPr>
          <w:bCs/>
          <w:sz w:val="28"/>
          <w:szCs w:val="28"/>
          <w:lang w:val="vi-VN"/>
        </w:rPr>
        <w:t xml:space="preserve">Trường hợp thuốc phối hợp đa thành phần không thuộc một trong các tiêu chí loại tại </w:t>
      </w:r>
      <w:r>
        <w:rPr>
          <w:bCs/>
          <w:sz w:val="28"/>
          <w:szCs w:val="28"/>
        </w:rPr>
        <w:t>k</w:t>
      </w:r>
      <w:r w:rsidR="006C510C" w:rsidRPr="006C510C">
        <w:rPr>
          <w:bCs/>
          <w:sz w:val="28"/>
          <w:szCs w:val="28"/>
          <w:lang w:val="vi-VN"/>
        </w:rPr>
        <w:t xml:space="preserve">hoản 1 </w:t>
      </w:r>
      <w:r>
        <w:rPr>
          <w:bCs/>
          <w:sz w:val="28"/>
          <w:szCs w:val="28"/>
        </w:rPr>
        <w:t>Điều này</w:t>
      </w:r>
      <w:r w:rsidR="006C510C" w:rsidRPr="006C510C">
        <w:rPr>
          <w:bCs/>
          <w:sz w:val="28"/>
          <w:szCs w:val="28"/>
          <w:lang w:val="vi-VN"/>
        </w:rPr>
        <w:t xml:space="preserve"> nhưng không lưu hành tại các nước tham chiếu, được các đơn vị đề xuất xin giữ lại, căn cứ ý kiến của tiểu ban chuyên môn trên cơ sở đánh giá các bằng chứng nghiên cứu lâm sàng về an toàn, hiệu quả để xem xét.</w:t>
      </w:r>
    </w:p>
    <w:p w14:paraId="2766E5D8" w14:textId="77777777" w:rsidR="006C510C" w:rsidRPr="006C510C" w:rsidRDefault="00615682" w:rsidP="006C510C">
      <w:pPr>
        <w:widowControl w:val="0"/>
        <w:spacing w:before="120" w:after="120"/>
        <w:ind w:firstLine="601"/>
        <w:jc w:val="both"/>
        <w:rPr>
          <w:b/>
          <w:sz w:val="28"/>
          <w:szCs w:val="28"/>
        </w:rPr>
      </w:pPr>
      <w:r>
        <w:rPr>
          <w:b/>
          <w:sz w:val="28"/>
          <w:szCs w:val="28"/>
        </w:rPr>
        <w:t>Điều 3</w:t>
      </w:r>
      <w:r w:rsidR="006C510C" w:rsidRPr="006C510C">
        <w:rPr>
          <w:b/>
          <w:sz w:val="28"/>
          <w:szCs w:val="28"/>
          <w:lang w:val="vi-VN"/>
        </w:rPr>
        <w:t xml:space="preserve">. Tiêu chí để bổ sung thuốc mới vào </w:t>
      </w:r>
      <w:r w:rsidR="006C510C" w:rsidRPr="006C510C">
        <w:rPr>
          <w:b/>
          <w:sz w:val="28"/>
          <w:szCs w:val="28"/>
        </w:rPr>
        <w:t>D</w:t>
      </w:r>
      <w:r w:rsidR="006C510C" w:rsidRPr="006C510C">
        <w:rPr>
          <w:b/>
          <w:sz w:val="28"/>
          <w:szCs w:val="28"/>
          <w:lang w:val="vi-VN"/>
        </w:rPr>
        <w:t xml:space="preserve">anh mục </w:t>
      </w:r>
      <w:r w:rsidR="006C510C" w:rsidRPr="006C510C">
        <w:rPr>
          <w:b/>
          <w:sz w:val="28"/>
          <w:szCs w:val="28"/>
        </w:rPr>
        <w:t xml:space="preserve">thuốc </w:t>
      </w:r>
    </w:p>
    <w:p w14:paraId="318C5EAB" w14:textId="77777777" w:rsidR="006C510C" w:rsidRPr="006C510C" w:rsidRDefault="00A04BB4" w:rsidP="006C510C">
      <w:pPr>
        <w:widowControl w:val="0"/>
        <w:spacing w:before="120"/>
        <w:ind w:firstLine="601"/>
        <w:jc w:val="both"/>
        <w:rPr>
          <w:sz w:val="28"/>
          <w:szCs w:val="28"/>
        </w:rPr>
      </w:pPr>
      <w:r>
        <w:rPr>
          <w:sz w:val="28"/>
          <w:szCs w:val="28"/>
        </w:rPr>
        <w:t>1.</w:t>
      </w:r>
      <w:r w:rsidR="006C510C" w:rsidRPr="006C510C">
        <w:rPr>
          <w:sz w:val="28"/>
          <w:szCs w:val="28"/>
        </w:rPr>
        <w:t xml:space="preserve"> Tiêu chí chung: Các thuốc cần không vi phạm tiêu chí tại </w:t>
      </w:r>
      <w:r w:rsidR="004E7D2D">
        <w:rPr>
          <w:sz w:val="28"/>
          <w:szCs w:val="28"/>
        </w:rPr>
        <w:t>Khoản 1 Điều 2</w:t>
      </w:r>
      <w:r w:rsidR="006C510C" w:rsidRPr="006C510C">
        <w:rPr>
          <w:sz w:val="28"/>
          <w:szCs w:val="28"/>
        </w:rPr>
        <w:t xml:space="preserve"> và</w:t>
      </w:r>
      <w:r w:rsidR="006C510C" w:rsidRPr="006C510C">
        <w:rPr>
          <w:sz w:val="28"/>
          <w:szCs w:val="28"/>
          <w:lang w:val="vi-VN"/>
        </w:rPr>
        <w:t xml:space="preserve"> đạt tất cả các tiêu chí chung </w:t>
      </w:r>
      <w:r w:rsidR="006C510C" w:rsidRPr="006C510C">
        <w:rPr>
          <w:sz w:val="28"/>
          <w:szCs w:val="28"/>
        </w:rPr>
        <w:t>như sau:</w:t>
      </w:r>
    </w:p>
    <w:p w14:paraId="71189FBC" w14:textId="77777777" w:rsidR="006C510C" w:rsidRPr="006C510C" w:rsidRDefault="00A04BB4" w:rsidP="006C510C">
      <w:pPr>
        <w:widowControl w:val="0"/>
        <w:spacing w:before="120"/>
        <w:ind w:firstLine="601"/>
        <w:jc w:val="both"/>
        <w:rPr>
          <w:sz w:val="28"/>
          <w:szCs w:val="28"/>
          <w:lang w:val="pl-PL"/>
        </w:rPr>
      </w:pPr>
      <w:r>
        <w:rPr>
          <w:sz w:val="28"/>
          <w:szCs w:val="28"/>
          <w:lang w:val="pl-PL"/>
        </w:rPr>
        <w:lastRenderedPageBreak/>
        <w:t>a)</w:t>
      </w:r>
      <w:r w:rsidR="006C510C" w:rsidRPr="006C510C">
        <w:rPr>
          <w:sz w:val="28"/>
          <w:szCs w:val="28"/>
          <w:lang w:val="pl-PL"/>
        </w:rPr>
        <w:t xml:space="preserve"> Là thuốc hóa dược, thuốc sinh phẩm, thuốc phóng xạ và chất đánh dấu;</w:t>
      </w:r>
    </w:p>
    <w:p w14:paraId="58B4D26D" w14:textId="77777777" w:rsidR="006C510C" w:rsidRPr="006C510C" w:rsidRDefault="00A04BB4" w:rsidP="006C510C">
      <w:pPr>
        <w:widowControl w:val="0"/>
        <w:spacing w:before="120"/>
        <w:ind w:firstLine="601"/>
        <w:jc w:val="both"/>
        <w:rPr>
          <w:sz w:val="28"/>
          <w:szCs w:val="28"/>
          <w:lang w:val="pl-PL"/>
        </w:rPr>
      </w:pPr>
      <w:r>
        <w:rPr>
          <w:sz w:val="28"/>
          <w:szCs w:val="28"/>
          <w:lang w:val="pl-PL"/>
        </w:rPr>
        <w:t>b)</w:t>
      </w:r>
      <w:r w:rsidR="006C510C" w:rsidRPr="006C510C">
        <w:rPr>
          <w:sz w:val="28"/>
          <w:szCs w:val="28"/>
          <w:lang w:val="pl-PL"/>
        </w:rPr>
        <w:t xml:space="preserve"> Đã được Cục Quản lý Dược cấp giấy đăng ký lưu hành; trường hợp là thuốc chống độc, thuốc hiếm, thuốc cấp cứu, thuốc phóng xạ và chất đánh dấu được cấp giấy đăng ký lưu hành hoặc giấy phép nhập khẩu;</w:t>
      </w:r>
    </w:p>
    <w:p w14:paraId="2BF9856D" w14:textId="7F85E615" w:rsidR="006C510C" w:rsidRPr="006C510C" w:rsidRDefault="00A04BB4" w:rsidP="006C510C">
      <w:pPr>
        <w:widowControl w:val="0"/>
        <w:spacing w:before="120"/>
        <w:ind w:firstLine="600"/>
        <w:jc w:val="both"/>
        <w:rPr>
          <w:sz w:val="28"/>
          <w:szCs w:val="28"/>
          <w:lang w:val="pl-PL"/>
        </w:rPr>
      </w:pPr>
      <w:r>
        <w:rPr>
          <w:sz w:val="28"/>
          <w:szCs w:val="28"/>
          <w:lang w:val="pl-PL"/>
        </w:rPr>
        <w:t>c)</w:t>
      </w:r>
      <w:r w:rsidR="006C510C" w:rsidRPr="006C510C">
        <w:rPr>
          <w:sz w:val="28"/>
          <w:szCs w:val="28"/>
          <w:lang w:val="pl-PL"/>
        </w:rPr>
        <w:t xml:space="preserve"> Được khuyến cáo trong hướng dẫn chẩn đoán và điều trị của Bộ Y tế hoặc WHO hoặc Hội y khoa, dược khoa có uy tín trên thế giới</w:t>
      </w:r>
      <w:r w:rsidR="00E871A6">
        <w:rPr>
          <w:sz w:val="28"/>
          <w:szCs w:val="28"/>
          <w:lang w:val="pl-PL"/>
        </w:rPr>
        <w:t>;</w:t>
      </w:r>
    </w:p>
    <w:p w14:paraId="1E807AAB" w14:textId="4ED8B4F4" w:rsidR="006C510C" w:rsidRPr="006C510C" w:rsidRDefault="00A04BB4" w:rsidP="006C510C">
      <w:pPr>
        <w:widowControl w:val="0"/>
        <w:spacing w:before="120"/>
        <w:ind w:firstLine="601"/>
        <w:jc w:val="both"/>
        <w:rPr>
          <w:sz w:val="28"/>
          <w:szCs w:val="28"/>
          <w:lang w:val="pl-PL"/>
        </w:rPr>
      </w:pPr>
      <w:r>
        <w:rPr>
          <w:sz w:val="28"/>
          <w:szCs w:val="28"/>
          <w:lang w:val="pl-PL"/>
        </w:rPr>
        <w:t>d)</w:t>
      </w:r>
      <w:r w:rsidR="006C510C" w:rsidRPr="006C510C">
        <w:rPr>
          <w:sz w:val="28"/>
          <w:szCs w:val="28"/>
          <w:lang w:val="pl-PL"/>
        </w:rPr>
        <w:t xml:space="preserve"> Có đề xuất từ cơ quan quản lý về y tế, </w:t>
      </w:r>
      <w:r w:rsidR="00695F64">
        <w:rPr>
          <w:sz w:val="28"/>
          <w:szCs w:val="28"/>
          <w:lang w:val="pl-PL"/>
        </w:rPr>
        <w:t xml:space="preserve">hoặc </w:t>
      </w:r>
      <w:r w:rsidR="006C510C" w:rsidRPr="006C510C">
        <w:rPr>
          <w:sz w:val="28"/>
          <w:szCs w:val="28"/>
          <w:lang w:val="pl-PL"/>
        </w:rPr>
        <w:t xml:space="preserve">cơ sở khám chữa bệnh, </w:t>
      </w:r>
      <w:r w:rsidR="00695F64">
        <w:rPr>
          <w:sz w:val="28"/>
          <w:szCs w:val="28"/>
          <w:lang w:val="pl-PL"/>
        </w:rPr>
        <w:t xml:space="preserve">hoặc </w:t>
      </w:r>
      <w:r w:rsidR="006C510C" w:rsidRPr="006C510C">
        <w:rPr>
          <w:sz w:val="28"/>
          <w:szCs w:val="28"/>
          <w:lang w:val="pl-PL"/>
        </w:rPr>
        <w:t>Hội y khoa, dược khoa</w:t>
      </w:r>
      <w:r w:rsidR="00695F64">
        <w:rPr>
          <w:sz w:val="28"/>
          <w:szCs w:val="28"/>
          <w:lang w:val="pl-PL"/>
        </w:rPr>
        <w:t>, hoặc Hội bệnh học</w:t>
      </w:r>
      <w:r w:rsidR="00D91D97">
        <w:rPr>
          <w:sz w:val="28"/>
          <w:szCs w:val="28"/>
          <w:lang w:val="pl-PL"/>
        </w:rPr>
        <w:t>,</w:t>
      </w:r>
      <w:r w:rsidR="00D91D97" w:rsidRPr="008C3B15">
        <w:rPr>
          <w:sz w:val="28"/>
          <w:szCs w:val="28"/>
          <w:lang w:val="pl-PL"/>
        </w:rPr>
        <w:t xml:space="preserve"> </w:t>
      </w:r>
      <w:r w:rsidR="00272924" w:rsidRPr="008C3B15">
        <w:rPr>
          <w:sz w:val="28"/>
          <w:szCs w:val="28"/>
          <w:lang w:val="pl-PL"/>
        </w:rPr>
        <w:t xml:space="preserve">hoặc </w:t>
      </w:r>
      <w:r w:rsidR="00D91D97" w:rsidRPr="008C3B15">
        <w:rPr>
          <w:sz w:val="28"/>
          <w:szCs w:val="28"/>
          <w:lang w:val="pl-PL"/>
        </w:rPr>
        <w:t>cơ sở kinh doanh dược</w:t>
      </w:r>
      <w:r w:rsidR="006C510C" w:rsidRPr="008C3B15">
        <w:rPr>
          <w:sz w:val="28"/>
          <w:szCs w:val="28"/>
          <w:lang w:val="pl-PL"/>
        </w:rPr>
        <w:t xml:space="preserve"> </w:t>
      </w:r>
      <w:r w:rsidR="006C510C" w:rsidRPr="006C510C">
        <w:rPr>
          <w:sz w:val="28"/>
          <w:szCs w:val="28"/>
          <w:lang w:val="pl-PL"/>
        </w:rPr>
        <w:t>và có hồ sơ sản phẩm cung cấp đầy đủ thông tin theo yêu cầu của Bộ Y tế (Bộ Y tế sẽ ban hành Công văn yêu cầu cung cấp thông tin)</w:t>
      </w:r>
      <w:r w:rsidR="00E871A6">
        <w:rPr>
          <w:sz w:val="28"/>
          <w:szCs w:val="28"/>
          <w:lang w:val="pl-PL"/>
        </w:rPr>
        <w:t>;</w:t>
      </w:r>
    </w:p>
    <w:p w14:paraId="41EEC451" w14:textId="77777777" w:rsidR="006C510C" w:rsidRPr="006C510C" w:rsidRDefault="00A04BB4" w:rsidP="006C510C">
      <w:pPr>
        <w:widowControl w:val="0"/>
        <w:spacing w:before="120" w:after="120"/>
        <w:ind w:firstLine="601"/>
        <w:jc w:val="both"/>
        <w:rPr>
          <w:sz w:val="28"/>
          <w:szCs w:val="28"/>
        </w:rPr>
      </w:pPr>
      <w:r>
        <w:rPr>
          <w:sz w:val="28"/>
          <w:szCs w:val="28"/>
        </w:rPr>
        <w:t>e)</w:t>
      </w:r>
      <w:r w:rsidR="006C510C" w:rsidRPr="006C510C">
        <w:rPr>
          <w:sz w:val="28"/>
          <w:szCs w:val="28"/>
          <w:lang w:val="vi-VN"/>
        </w:rPr>
        <w:t xml:space="preserve"> Có đánh giá tác động ngân sách</w:t>
      </w:r>
      <w:r w:rsidR="006C510C" w:rsidRPr="006C510C">
        <w:rPr>
          <w:sz w:val="28"/>
          <w:szCs w:val="28"/>
        </w:rPr>
        <w:t xml:space="preserve"> tại Việt Nam</w:t>
      </w:r>
      <w:bookmarkStart w:id="0" w:name="_Hlk140080504"/>
      <w:r w:rsidR="006C510C" w:rsidRPr="006C510C">
        <w:rPr>
          <w:sz w:val="28"/>
          <w:szCs w:val="28"/>
        </w:rPr>
        <w:t>.</w:t>
      </w:r>
    </w:p>
    <w:bookmarkEnd w:id="0"/>
    <w:p w14:paraId="7FEE3B3A" w14:textId="77777777" w:rsidR="006C510C" w:rsidRPr="006C510C" w:rsidRDefault="00A04BB4" w:rsidP="006C510C">
      <w:pPr>
        <w:widowControl w:val="0"/>
        <w:spacing w:before="120" w:after="120"/>
        <w:ind w:firstLine="600"/>
        <w:jc w:val="both"/>
        <w:rPr>
          <w:sz w:val="28"/>
          <w:szCs w:val="28"/>
          <w:lang w:val="pl-PL"/>
        </w:rPr>
      </w:pPr>
      <w:r>
        <w:rPr>
          <w:sz w:val="28"/>
          <w:szCs w:val="28"/>
          <w:lang w:val="pl-PL"/>
        </w:rPr>
        <w:t>2.</w:t>
      </w:r>
      <w:r w:rsidR="006C510C" w:rsidRPr="006C510C">
        <w:rPr>
          <w:sz w:val="28"/>
          <w:szCs w:val="28"/>
          <w:lang w:val="pl-PL"/>
        </w:rPr>
        <w:t xml:space="preserve"> Tiêu chí riêng đối với các nhóm thuốc: Ngoài tiêu chí chung</w:t>
      </w:r>
      <w:r w:rsidR="004E7D2D">
        <w:rPr>
          <w:sz w:val="28"/>
          <w:szCs w:val="28"/>
          <w:lang w:val="pl-PL"/>
        </w:rPr>
        <w:t xml:space="preserve"> quy định tại </w:t>
      </w:r>
      <w:r>
        <w:rPr>
          <w:sz w:val="28"/>
          <w:szCs w:val="28"/>
          <w:lang w:val="pl-PL"/>
        </w:rPr>
        <w:t>k</w:t>
      </w:r>
      <w:r w:rsidR="004E7D2D">
        <w:rPr>
          <w:sz w:val="28"/>
          <w:szCs w:val="28"/>
          <w:lang w:val="pl-PL"/>
        </w:rPr>
        <w:t xml:space="preserve">hoản </w:t>
      </w:r>
      <w:r>
        <w:rPr>
          <w:sz w:val="28"/>
          <w:szCs w:val="28"/>
          <w:lang w:val="pl-PL"/>
        </w:rPr>
        <w:t>1</w:t>
      </w:r>
      <w:r w:rsidR="004E7D2D">
        <w:rPr>
          <w:sz w:val="28"/>
          <w:szCs w:val="28"/>
          <w:lang w:val="pl-PL"/>
        </w:rPr>
        <w:t xml:space="preserve"> Điều </w:t>
      </w:r>
      <w:r>
        <w:rPr>
          <w:sz w:val="28"/>
          <w:szCs w:val="28"/>
          <w:lang w:val="pl-PL"/>
        </w:rPr>
        <w:t>này</w:t>
      </w:r>
      <w:r w:rsidR="006C510C" w:rsidRPr="006C510C">
        <w:rPr>
          <w:sz w:val="28"/>
          <w:szCs w:val="28"/>
          <w:lang w:val="pl-PL"/>
        </w:rPr>
        <w:t xml:space="preserve"> cần đạt tiêu chí cụ thể:</w:t>
      </w:r>
    </w:p>
    <w:p w14:paraId="71631E2C" w14:textId="77777777" w:rsidR="006C510C" w:rsidRPr="006C510C" w:rsidRDefault="00A04BB4" w:rsidP="006C510C">
      <w:pPr>
        <w:widowControl w:val="0"/>
        <w:spacing w:before="120" w:after="120"/>
        <w:ind w:firstLine="600"/>
        <w:jc w:val="both"/>
        <w:rPr>
          <w:sz w:val="28"/>
          <w:szCs w:val="28"/>
          <w:lang w:val="pl-PL"/>
        </w:rPr>
      </w:pPr>
      <w:r>
        <w:rPr>
          <w:sz w:val="28"/>
          <w:szCs w:val="28"/>
          <w:lang w:val="pl-PL"/>
        </w:rPr>
        <w:t>a)</w:t>
      </w:r>
      <w:r w:rsidR="006C510C" w:rsidRPr="006C510C">
        <w:rPr>
          <w:sz w:val="28"/>
          <w:szCs w:val="28"/>
          <w:lang w:val="pl-PL"/>
        </w:rPr>
        <w:t xml:space="preserve"> Thuốc phóng xạ và chất đánh dấu: Cần đáp ứng các tiêu chí chung.</w:t>
      </w:r>
    </w:p>
    <w:p w14:paraId="028972CD" w14:textId="6AA2E242" w:rsidR="006C510C" w:rsidRPr="006C510C" w:rsidRDefault="00A65322" w:rsidP="006C510C">
      <w:pPr>
        <w:widowControl w:val="0"/>
        <w:spacing w:before="120" w:after="120"/>
        <w:ind w:firstLine="600"/>
        <w:jc w:val="both"/>
        <w:rPr>
          <w:sz w:val="28"/>
          <w:szCs w:val="28"/>
        </w:rPr>
      </w:pPr>
      <w:r>
        <w:rPr>
          <w:sz w:val="28"/>
          <w:szCs w:val="28"/>
          <w:lang w:val="pl-PL"/>
        </w:rPr>
        <w:t>b)</w:t>
      </w:r>
      <w:r w:rsidR="006C510C" w:rsidRPr="006C510C">
        <w:rPr>
          <w:sz w:val="28"/>
          <w:szCs w:val="28"/>
          <w:lang w:val="pl-PL"/>
        </w:rPr>
        <w:t xml:space="preserve"> </w:t>
      </w:r>
      <w:r w:rsidR="004E7D2D">
        <w:rPr>
          <w:sz w:val="28"/>
          <w:szCs w:val="28"/>
          <w:lang w:val="pl-PL"/>
        </w:rPr>
        <w:t>T</w:t>
      </w:r>
      <w:r w:rsidR="006C510C" w:rsidRPr="006C510C">
        <w:rPr>
          <w:sz w:val="28"/>
          <w:szCs w:val="28"/>
          <w:lang w:val="pl-PL"/>
        </w:rPr>
        <w:t xml:space="preserve">huốc </w:t>
      </w:r>
      <w:r w:rsidR="006C510C" w:rsidRPr="006C510C">
        <w:rPr>
          <w:sz w:val="28"/>
          <w:szCs w:val="28"/>
        </w:rPr>
        <w:t xml:space="preserve">thuộc nhóm </w:t>
      </w:r>
      <w:r w:rsidR="006C510C" w:rsidRPr="006C510C">
        <w:rPr>
          <w:sz w:val="28"/>
          <w:szCs w:val="28"/>
          <w:lang w:val="pl-PL"/>
        </w:rPr>
        <w:t>giải độc, thuốc cấp cứu:</w:t>
      </w:r>
      <w:r w:rsidR="004E7D2D">
        <w:rPr>
          <w:sz w:val="28"/>
          <w:szCs w:val="28"/>
          <w:lang w:val="pl-PL"/>
        </w:rPr>
        <w:t xml:space="preserve"> C</w:t>
      </w:r>
      <w:r w:rsidR="006C510C" w:rsidRPr="006C510C">
        <w:rPr>
          <w:sz w:val="28"/>
          <w:szCs w:val="28"/>
          <w:lang w:val="pl-PL"/>
        </w:rPr>
        <w:t xml:space="preserve">ó bằng chứng khoa học về </w:t>
      </w:r>
      <w:r w:rsidR="006C510C" w:rsidRPr="006C510C">
        <w:rPr>
          <w:sz w:val="28"/>
          <w:szCs w:val="28"/>
        </w:rPr>
        <w:t>có tổng quan hệ thống về chi phí - hiệu quả</w:t>
      </w:r>
      <w:r w:rsidR="006C510C" w:rsidRPr="006C510C">
        <w:rPr>
          <w:sz w:val="28"/>
          <w:szCs w:val="28"/>
          <w:lang w:val="pl-PL"/>
        </w:rPr>
        <w:t xml:space="preserve"> hoặc đánh giá chi phí - hiệu quả thực tế</w:t>
      </w:r>
      <w:r w:rsidR="006C510C" w:rsidRPr="006C510C">
        <w:rPr>
          <w:sz w:val="28"/>
          <w:szCs w:val="28"/>
        </w:rPr>
        <w:t xml:space="preserve"> tại Việt Nam </w:t>
      </w:r>
      <w:r w:rsidR="006C510C" w:rsidRPr="006C510C">
        <w:rPr>
          <w:sz w:val="28"/>
          <w:szCs w:val="28"/>
          <w:lang w:val="pl-PL"/>
        </w:rPr>
        <w:t xml:space="preserve">của thuốc so với thuốc đã có trong </w:t>
      </w:r>
      <w:r w:rsidR="006C510C" w:rsidRPr="006C510C">
        <w:rPr>
          <w:sz w:val="28"/>
          <w:szCs w:val="28"/>
        </w:rPr>
        <w:t>Danh mục thuốc hiện hành hoặc so với</w:t>
      </w:r>
      <w:r w:rsidR="006C510C" w:rsidRPr="006C510C">
        <w:rPr>
          <w:sz w:val="28"/>
          <w:szCs w:val="28"/>
          <w:lang w:val="pl-PL"/>
        </w:rPr>
        <w:t xml:space="preserve"> thuốc</w:t>
      </w:r>
      <w:r w:rsidR="00E871A6">
        <w:rPr>
          <w:sz w:val="28"/>
          <w:szCs w:val="28"/>
          <w:lang w:val="pl-PL"/>
        </w:rPr>
        <w:t xml:space="preserve"> hoặc</w:t>
      </w:r>
      <w:r w:rsidR="008A1B3B">
        <w:rPr>
          <w:sz w:val="28"/>
          <w:szCs w:val="28"/>
          <w:lang w:val="pl-PL"/>
        </w:rPr>
        <w:t xml:space="preserve"> </w:t>
      </w:r>
      <w:r w:rsidR="006C510C" w:rsidRPr="006C510C">
        <w:rPr>
          <w:sz w:val="28"/>
          <w:szCs w:val="28"/>
          <w:lang w:val="pl-PL"/>
        </w:rPr>
        <w:t>phương pháp điều trị có trong hướng dẫn chẩn đoán điều trị của Bộ Y tế</w:t>
      </w:r>
      <w:r w:rsidR="006C510C" w:rsidRPr="006C510C">
        <w:rPr>
          <w:sz w:val="28"/>
          <w:szCs w:val="28"/>
        </w:rPr>
        <w:t>;</w:t>
      </w:r>
    </w:p>
    <w:p w14:paraId="6E05DCD7" w14:textId="77777777" w:rsidR="006C510C" w:rsidRPr="006C510C" w:rsidRDefault="00A65322" w:rsidP="006C510C">
      <w:pPr>
        <w:widowControl w:val="0"/>
        <w:spacing w:before="120" w:after="120"/>
        <w:ind w:firstLine="600"/>
        <w:jc w:val="both"/>
        <w:rPr>
          <w:sz w:val="28"/>
          <w:szCs w:val="28"/>
        </w:rPr>
      </w:pPr>
      <w:r>
        <w:rPr>
          <w:sz w:val="28"/>
          <w:szCs w:val="28"/>
        </w:rPr>
        <w:t>c)</w:t>
      </w:r>
      <w:r w:rsidR="006C510C" w:rsidRPr="006C510C">
        <w:rPr>
          <w:sz w:val="28"/>
          <w:szCs w:val="28"/>
        </w:rPr>
        <w:t xml:space="preserve"> Thuốc hiếm (nằm trong danh mục thuốc hiếm theo quy định của Bộ Y tế):</w:t>
      </w:r>
      <w:r w:rsidR="004E7D2D">
        <w:rPr>
          <w:sz w:val="28"/>
          <w:szCs w:val="28"/>
        </w:rPr>
        <w:t xml:space="preserve"> </w:t>
      </w:r>
    </w:p>
    <w:p w14:paraId="71F6110D" w14:textId="77777777" w:rsidR="006C510C" w:rsidRPr="006C510C" w:rsidRDefault="00E871A6" w:rsidP="006C510C">
      <w:pPr>
        <w:widowControl w:val="0"/>
        <w:spacing w:before="120" w:after="120"/>
        <w:ind w:firstLine="600"/>
        <w:jc w:val="both"/>
        <w:rPr>
          <w:sz w:val="28"/>
          <w:szCs w:val="28"/>
        </w:rPr>
      </w:pPr>
      <w:r>
        <w:rPr>
          <w:sz w:val="28"/>
          <w:szCs w:val="28"/>
        </w:rPr>
        <w:t xml:space="preserve">- </w:t>
      </w:r>
      <w:r w:rsidR="006C510C" w:rsidRPr="006C510C">
        <w:rPr>
          <w:sz w:val="28"/>
          <w:szCs w:val="28"/>
        </w:rPr>
        <w:t xml:space="preserve">Trường hợp thuốc hiếm đã có thuốc so sánh trong Danh mục thuốc hiện hành có cùng chỉ định điều trị bệnh hiếm đó: Yêu cầu </w:t>
      </w:r>
      <w:r w:rsidR="006C510C" w:rsidRPr="006C510C">
        <w:rPr>
          <w:sz w:val="28"/>
          <w:szCs w:val="28"/>
          <w:lang w:val="pl-PL"/>
        </w:rPr>
        <w:t>bằng chứng khoa học về chi phí - hiệu quả</w:t>
      </w:r>
      <w:r w:rsidR="006C510C" w:rsidRPr="006C510C">
        <w:rPr>
          <w:sz w:val="28"/>
          <w:szCs w:val="28"/>
        </w:rPr>
        <w:t xml:space="preserve"> tại Việt Nam</w:t>
      </w:r>
      <w:r w:rsidR="006C510C" w:rsidRPr="006C510C">
        <w:rPr>
          <w:sz w:val="28"/>
          <w:szCs w:val="28"/>
          <w:lang w:val="pl-PL"/>
        </w:rPr>
        <w:t xml:space="preserve"> của thuốc</w:t>
      </w:r>
      <w:r w:rsidR="006C510C" w:rsidRPr="006C510C">
        <w:rPr>
          <w:sz w:val="28"/>
          <w:szCs w:val="28"/>
        </w:rPr>
        <w:t xml:space="preserve"> mới</w:t>
      </w:r>
      <w:r w:rsidR="006C510C" w:rsidRPr="006C510C">
        <w:rPr>
          <w:sz w:val="28"/>
          <w:szCs w:val="28"/>
          <w:lang w:val="pl-PL"/>
        </w:rPr>
        <w:t xml:space="preserve"> so với thuốc </w:t>
      </w:r>
      <w:r w:rsidR="006C510C" w:rsidRPr="006C510C">
        <w:rPr>
          <w:sz w:val="28"/>
          <w:szCs w:val="28"/>
        </w:rPr>
        <w:t xml:space="preserve">so sánh </w:t>
      </w:r>
      <w:r w:rsidR="006C510C" w:rsidRPr="006C510C">
        <w:rPr>
          <w:sz w:val="28"/>
          <w:szCs w:val="28"/>
          <w:lang w:val="pl-PL"/>
        </w:rPr>
        <w:t xml:space="preserve">có trong </w:t>
      </w:r>
      <w:r w:rsidR="006C510C" w:rsidRPr="006C510C">
        <w:rPr>
          <w:sz w:val="28"/>
          <w:szCs w:val="28"/>
        </w:rPr>
        <w:t>Danh mục thuốc hiện hành;</w:t>
      </w:r>
    </w:p>
    <w:p w14:paraId="07F914B1" w14:textId="77777777" w:rsidR="006C510C" w:rsidRDefault="00E871A6" w:rsidP="006C510C">
      <w:pPr>
        <w:widowControl w:val="0"/>
        <w:spacing w:before="120" w:after="120"/>
        <w:ind w:firstLine="600"/>
        <w:jc w:val="both"/>
        <w:rPr>
          <w:sz w:val="28"/>
          <w:szCs w:val="28"/>
        </w:rPr>
      </w:pPr>
      <w:r>
        <w:rPr>
          <w:sz w:val="28"/>
          <w:szCs w:val="28"/>
        </w:rPr>
        <w:t xml:space="preserve">- </w:t>
      </w:r>
      <w:r w:rsidR="006C510C" w:rsidRPr="006C510C">
        <w:rPr>
          <w:sz w:val="28"/>
          <w:szCs w:val="28"/>
        </w:rPr>
        <w:t>Trường hợp thuốc hiếm chưa có thuốc so sánh trong Danh mục thuốc hiện hành có cùng chỉ định điều trị bệnh hiếm đó: Yêu cầu tổng quan hệ thống về chi phí - hiệu quả;</w:t>
      </w:r>
    </w:p>
    <w:p w14:paraId="799B6C3D" w14:textId="77777777" w:rsidR="00DF2DE7" w:rsidRDefault="00A65322" w:rsidP="00EF2765">
      <w:pPr>
        <w:widowControl w:val="0"/>
        <w:spacing w:before="120" w:after="120"/>
        <w:ind w:firstLine="600"/>
        <w:jc w:val="both"/>
        <w:rPr>
          <w:sz w:val="28"/>
          <w:szCs w:val="28"/>
        </w:rPr>
      </w:pPr>
      <w:r>
        <w:rPr>
          <w:sz w:val="28"/>
          <w:szCs w:val="28"/>
        </w:rPr>
        <w:t>d)</w:t>
      </w:r>
      <w:r w:rsidR="00DF2DE7">
        <w:rPr>
          <w:sz w:val="28"/>
          <w:szCs w:val="28"/>
        </w:rPr>
        <w:t xml:space="preserve"> Thuốc phối hợp mà các thành phần đều </w:t>
      </w:r>
      <w:r w:rsidR="008C6D29">
        <w:rPr>
          <w:sz w:val="28"/>
          <w:szCs w:val="28"/>
        </w:rPr>
        <w:t xml:space="preserve">đã </w:t>
      </w:r>
      <w:r w:rsidR="00DF2DE7">
        <w:rPr>
          <w:sz w:val="28"/>
          <w:szCs w:val="28"/>
        </w:rPr>
        <w:t xml:space="preserve">có trong Danh mục </w:t>
      </w:r>
      <w:r w:rsidR="008C6D29">
        <w:rPr>
          <w:sz w:val="28"/>
          <w:szCs w:val="28"/>
        </w:rPr>
        <w:t xml:space="preserve">thuốc bảo hiểm y tế: </w:t>
      </w:r>
    </w:p>
    <w:p w14:paraId="5A946B3A" w14:textId="05CEF438" w:rsidR="008C6D29" w:rsidRPr="006C510C" w:rsidRDefault="00A65322" w:rsidP="008C6D29">
      <w:pPr>
        <w:widowControl w:val="0"/>
        <w:spacing w:before="120" w:after="120"/>
        <w:ind w:firstLine="600"/>
        <w:jc w:val="both"/>
        <w:rPr>
          <w:sz w:val="28"/>
          <w:szCs w:val="28"/>
        </w:rPr>
      </w:pPr>
      <w:r>
        <w:rPr>
          <w:sz w:val="28"/>
          <w:szCs w:val="28"/>
        </w:rPr>
        <w:t xml:space="preserve">- </w:t>
      </w:r>
      <w:r w:rsidR="008C6D29">
        <w:rPr>
          <w:sz w:val="28"/>
          <w:szCs w:val="28"/>
        </w:rPr>
        <w:t>Trường hợp giá thuốc phối hợp cao hơn tổng chi phí các thuốc thành phần đã có trong Danh mục thuốc bảo hiểm y tế (xét theo giá thuốc cùng nhóm): Không thực hiện bổ sung vào Danh mục; trừ trường hợp chứng minh hiệu quả đặc biệt cho nhóm đối tượng đặc thù. Trường hợp xem xét cho nhóm đặc thù, c</w:t>
      </w:r>
      <w:r w:rsidR="008C6D29" w:rsidRPr="006C510C">
        <w:rPr>
          <w:sz w:val="28"/>
          <w:szCs w:val="28"/>
          <w:lang w:val="pl-PL"/>
        </w:rPr>
        <w:t>ần đáp ứng các tiêu chí chung</w:t>
      </w:r>
      <w:r w:rsidR="00E871A6">
        <w:rPr>
          <w:sz w:val="28"/>
          <w:szCs w:val="28"/>
          <w:lang w:val="pl-PL"/>
        </w:rPr>
        <w:t xml:space="preserve"> quy định tại khoản 1 điều này</w:t>
      </w:r>
      <w:r w:rsidR="008A1B3B">
        <w:rPr>
          <w:sz w:val="28"/>
          <w:szCs w:val="28"/>
          <w:lang w:val="pl-PL"/>
        </w:rPr>
        <w:t>;</w:t>
      </w:r>
    </w:p>
    <w:p w14:paraId="0AE26EB5" w14:textId="77777777" w:rsidR="008C6D29" w:rsidRPr="006C510C" w:rsidRDefault="00A65322" w:rsidP="008C6D29">
      <w:pPr>
        <w:widowControl w:val="0"/>
        <w:spacing w:before="120" w:after="120"/>
        <w:ind w:firstLine="600"/>
        <w:jc w:val="both"/>
        <w:rPr>
          <w:sz w:val="28"/>
          <w:szCs w:val="28"/>
          <w:lang w:val="pl-PL"/>
        </w:rPr>
      </w:pPr>
      <w:r>
        <w:rPr>
          <w:sz w:val="28"/>
          <w:szCs w:val="28"/>
        </w:rPr>
        <w:t xml:space="preserve">- </w:t>
      </w:r>
      <w:r w:rsidR="008C6D29">
        <w:rPr>
          <w:sz w:val="28"/>
          <w:szCs w:val="28"/>
        </w:rPr>
        <w:t xml:space="preserve">Trường hợp giá thuốc phối hợp thấp hơn tổng chi phí các thuốc thành phần đã có trong Danh mục thuốc bảo hiểm y tế (xét theo giá thuốc cùng nhóm): </w:t>
      </w:r>
      <w:r w:rsidR="008C6D29" w:rsidRPr="006C510C">
        <w:rPr>
          <w:sz w:val="28"/>
          <w:szCs w:val="28"/>
          <w:lang w:val="pl-PL"/>
        </w:rPr>
        <w:t>Cần đáp ứng các tiêu chí chung.</w:t>
      </w:r>
      <w:r w:rsidR="008C6D29">
        <w:rPr>
          <w:sz w:val="28"/>
          <w:szCs w:val="28"/>
          <w:lang w:val="pl-PL"/>
        </w:rPr>
        <w:t xml:space="preserve"> Trường hợp thuốc thành phần có trong Danh mục thuốc bảo hiểm y tế không tương đồng về mặt phân nhóm với thuốc phối hợp</w:t>
      </w:r>
      <w:r w:rsidR="008D4EF5">
        <w:rPr>
          <w:sz w:val="28"/>
          <w:szCs w:val="28"/>
          <w:lang w:val="pl-PL"/>
        </w:rPr>
        <w:t>: Thực hiện</w:t>
      </w:r>
      <w:r w:rsidR="008C6D29">
        <w:rPr>
          <w:sz w:val="28"/>
          <w:szCs w:val="28"/>
          <w:lang w:val="pl-PL"/>
        </w:rPr>
        <w:t xml:space="preserve"> xét</w:t>
      </w:r>
      <w:r w:rsidR="008D4EF5">
        <w:rPr>
          <w:sz w:val="28"/>
          <w:szCs w:val="28"/>
          <w:lang w:val="pl-PL"/>
        </w:rPr>
        <w:t xml:space="preserve"> giá</w:t>
      </w:r>
      <w:r w:rsidR="008C6D29">
        <w:rPr>
          <w:sz w:val="28"/>
          <w:szCs w:val="28"/>
          <w:lang w:val="pl-PL"/>
        </w:rPr>
        <w:t xml:space="preserve"> thuốc phối hợp </w:t>
      </w:r>
      <w:r w:rsidR="008D4EF5">
        <w:rPr>
          <w:sz w:val="28"/>
          <w:szCs w:val="28"/>
          <w:lang w:val="pl-PL"/>
        </w:rPr>
        <w:t>với tổng chi phí các thuốc thành phần ở nhóm tiêu chí kỹ thuật cao nhất.</w:t>
      </w:r>
    </w:p>
    <w:p w14:paraId="2BBDD90B" w14:textId="6F7BAD95" w:rsidR="006C510C" w:rsidRPr="006C510C" w:rsidRDefault="008C6D29" w:rsidP="006C510C">
      <w:pPr>
        <w:widowControl w:val="0"/>
        <w:spacing w:after="120"/>
        <w:ind w:firstLine="600"/>
        <w:jc w:val="both"/>
        <w:rPr>
          <w:sz w:val="28"/>
          <w:szCs w:val="28"/>
        </w:rPr>
      </w:pPr>
      <w:r w:rsidRPr="006C510C">
        <w:rPr>
          <w:sz w:val="28"/>
          <w:szCs w:val="28"/>
        </w:rPr>
        <w:lastRenderedPageBreak/>
        <w:t xml:space="preserve"> </w:t>
      </w:r>
      <w:r w:rsidR="00A65322">
        <w:rPr>
          <w:sz w:val="28"/>
          <w:szCs w:val="28"/>
        </w:rPr>
        <w:t>e)</w:t>
      </w:r>
      <w:r w:rsidR="006C510C" w:rsidRPr="006C510C">
        <w:rPr>
          <w:sz w:val="28"/>
          <w:szCs w:val="28"/>
        </w:rPr>
        <w:t xml:space="preserve"> Các thuốc không thuộc nhóm thuốc </w:t>
      </w:r>
      <w:r w:rsidR="006C510C" w:rsidRPr="006C510C">
        <w:rPr>
          <w:sz w:val="28"/>
          <w:szCs w:val="28"/>
          <w:lang w:val="pl-PL"/>
        </w:rPr>
        <w:t>chống độc, thuốc cấp cứu, thuốc hiếm, thuốc phóng xạ và chất đánh dấu</w:t>
      </w:r>
      <w:r w:rsidR="006C510C" w:rsidRPr="006C510C">
        <w:rPr>
          <w:sz w:val="28"/>
          <w:szCs w:val="28"/>
        </w:rPr>
        <w:t xml:space="preserve">: </w:t>
      </w:r>
      <w:r w:rsidR="006C510C" w:rsidRPr="006C510C">
        <w:rPr>
          <w:sz w:val="28"/>
          <w:szCs w:val="28"/>
          <w:lang w:val="pl-PL"/>
        </w:rPr>
        <w:t>Có bằng chứng khoa học về chi phí - hiệu quả</w:t>
      </w:r>
      <w:r w:rsidR="006C510C" w:rsidRPr="006C510C">
        <w:rPr>
          <w:sz w:val="28"/>
          <w:szCs w:val="28"/>
        </w:rPr>
        <w:t xml:space="preserve"> tại Việt Nam</w:t>
      </w:r>
      <w:r w:rsidR="006C510C" w:rsidRPr="006C510C">
        <w:rPr>
          <w:b/>
          <w:bCs/>
          <w:sz w:val="28"/>
          <w:szCs w:val="28"/>
          <w:lang w:val="pl-PL"/>
        </w:rPr>
        <w:t xml:space="preserve"> </w:t>
      </w:r>
      <w:r w:rsidR="006C510C" w:rsidRPr="006C510C">
        <w:rPr>
          <w:sz w:val="28"/>
          <w:szCs w:val="28"/>
          <w:lang w:val="pl-PL"/>
        </w:rPr>
        <w:t>của thuốc</w:t>
      </w:r>
      <w:r w:rsidR="006C510C" w:rsidRPr="006C510C">
        <w:rPr>
          <w:sz w:val="28"/>
          <w:szCs w:val="28"/>
        </w:rPr>
        <w:t xml:space="preserve"> mới</w:t>
      </w:r>
      <w:r w:rsidR="006C510C" w:rsidRPr="006C510C">
        <w:rPr>
          <w:sz w:val="28"/>
          <w:szCs w:val="28"/>
          <w:lang w:val="pl-PL"/>
        </w:rPr>
        <w:t xml:space="preserve"> so với thuốc</w:t>
      </w:r>
      <w:r w:rsidR="008A1B3B">
        <w:rPr>
          <w:sz w:val="28"/>
          <w:szCs w:val="28"/>
          <w:lang w:val="pl-PL"/>
        </w:rPr>
        <w:t xml:space="preserve"> hoặc </w:t>
      </w:r>
      <w:r w:rsidR="006C510C" w:rsidRPr="006C510C">
        <w:rPr>
          <w:sz w:val="28"/>
          <w:szCs w:val="28"/>
          <w:lang w:val="pl-PL"/>
        </w:rPr>
        <w:t xml:space="preserve">phương pháp điều trị </w:t>
      </w:r>
      <w:r w:rsidR="006C510C" w:rsidRPr="006C510C">
        <w:rPr>
          <w:sz w:val="28"/>
          <w:szCs w:val="28"/>
        </w:rPr>
        <w:t xml:space="preserve">so sánh </w:t>
      </w:r>
      <w:r w:rsidR="006C510C" w:rsidRPr="006C510C">
        <w:rPr>
          <w:sz w:val="28"/>
          <w:szCs w:val="28"/>
          <w:lang w:val="pl-PL"/>
        </w:rPr>
        <w:t xml:space="preserve">có trong hướng dẫn chẩn đoán điều trị của Bộ Y tế hoặc thuốc đã có trong </w:t>
      </w:r>
      <w:r w:rsidR="006C510C" w:rsidRPr="006C510C">
        <w:rPr>
          <w:sz w:val="28"/>
          <w:szCs w:val="28"/>
        </w:rPr>
        <w:t>Danh mục thuốc hiện hành.</w:t>
      </w:r>
    </w:p>
    <w:p w14:paraId="2D3C32D2" w14:textId="77777777" w:rsidR="006C510C" w:rsidRPr="006C510C" w:rsidRDefault="00615682" w:rsidP="006C510C">
      <w:pPr>
        <w:widowControl w:val="0"/>
        <w:spacing w:before="120"/>
        <w:ind w:firstLine="720"/>
        <w:jc w:val="both"/>
        <w:rPr>
          <w:b/>
          <w:sz w:val="28"/>
          <w:szCs w:val="28"/>
          <w:lang w:val="pl-PL"/>
        </w:rPr>
      </w:pPr>
      <w:r>
        <w:rPr>
          <w:b/>
          <w:sz w:val="28"/>
          <w:szCs w:val="28"/>
          <w:lang w:val="pl-PL"/>
        </w:rPr>
        <w:t>Điều 4</w:t>
      </w:r>
      <w:r w:rsidR="006C510C" w:rsidRPr="006C510C">
        <w:rPr>
          <w:b/>
          <w:sz w:val="28"/>
          <w:szCs w:val="28"/>
          <w:lang w:val="pl-PL"/>
        </w:rPr>
        <w:t>. Tiêu chí xem xét thuốc cần quy định điều kiện, tỷ lệ thanh toán bảo hiểm y tế</w:t>
      </w:r>
    </w:p>
    <w:p w14:paraId="79766220" w14:textId="77777777" w:rsidR="008A1B3B" w:rsidRPr="006C510C" w:rsidRDefault="008A1B3B" w:rsidP="008A1B3B">
      <w:pPr>
        <w:widowControl w:val="0"/>
        <w:spacing w:before="120"/>
        <w:ind w:firstLine="720"/>
        <w:jc w:val="both"/>
        <w:rPr>
          <w:sz w:val="28"/>
          <w:szCs w:val="28"/>
          <w:lang w:val="pl-PL"/>
        </w:rPr>
      </w:pPr>
      <w:r>
        <w:rPr>
          <w:sz w:val="28"/>
          <w:szCs w:val="28"/>
          <w:lang w:val="pl-PL"/>
        </w:rPr>
        <w:t>1.</w:t>
      </w:r>
      <w:r w:rsidRPr="006C510C">
        <w:rPr>
          <w:sz w:val="28"/>
          <w:szCs w:val="28"/>
          <w:lang w:val="pl-PL"/>
        </w:rPr>
        <w:t xml:space="preserve"> </w:t>
      </w:r>
      <w:r>
        <w:rPr>
          <w:sz w:val="28"/>
          <w:szCs w:val="28"/>
          <w:lang w:val="pl-PL"/>
        </w:rPr>
        <w:t>N</w:t>
      </w:r>
      <w:r w:rsidRPr="006C510C">
        <w:rPr>
          <w:sz w:val="28"/>
          <w:szCs w:val="28"/>
          <w:lang w:val="pl-PL"/>
        </w:rPr>
        <w:t xml:space="preserve">guyên tắc quy định </w:t>
      </w:r>
      <w:r>
        <w:rPr>
          <w:sz w:val="28"/>
          <w:szCs w:val="28"/>
          <w:lang w:val="pl-PL"/>
        </w:rPr>
        <w:t>t</w:t>
      </w:r>
      <w:r w:rsidRPr="006C510C">
        <w:rPr>
          <w:sz w:val="28"/>
          <w:szCs w:val="28"/>
          <w:lang w:val="pl-PL"/>
        </w:rPr>
        <w:t>ỷ lệ thanh toán</w:t>
      </w:r>
      <w:r>
        <w:rPr>
          <w:sz w:val="28"/>
          <w:szCs w:val="28"/>
          <w:lang w:val="pl-PL"/>
        </w:rPr>
        <w:t>, điều kiện thanh toán</w:t>
      </w:r>
      <w:r w:rsidRPr="006C510C">
        <w:rPr>
          <w:sz w:val="28"/>
          <w:szCs w:val="28"/>
          <w:lang w:val="pl-PL"/>
        </w:rPr>
        <w:t>: Các thuốc cùng tác dụng điều trị, chi phí điều trị tương đương, quỹ bảo hiểm y tế thanh toán theo tỷ lệ như nhau</w:t>
      </w:r>
      <w:r>
        <w:rPr>
          <w:sz w:val="28"/>
          <w:szCs w:val="28"/>
          <w:lang w:val="pl-PL"/>
        </w:rPr>
        <w:t xml:space="preserve"> hoặc quy định điều kiện thanh toán tương đồng.</w:t>
      </w:r>
    </w:p>
    <w:p w14:paraId="4D9F5C89" w14:textId="76BF1188" w:rsidR="006C510C" w:rsidRPr="006C510C" w:rsidRDefault="008A1B3B" w:rsidP="006C510C">
      <w:pPr>
        <w:widowControl w:val="0"/>
        <w:spacing w:before="120"/>
        <w:ind w:firstLine="720"/>
        <w:jc w:val="both"/>
        <w:rPr>
          <w:bCs/>
          <w:sz w:val="28"/>
          <w:szCs w:val="28"/>
          <w:lang w:val="pl-PL"/>
        </w:rPr>
      </w:pPr>
      <w:r>
        <w:rPr>
          <w:bCs/>
          <w:sz w:val="28"/>
          <w:szCs w:val="28"/>
          <w:lang w:val="pl-PL"/>
        </w:rPr>
        <w:t>2</w:t>
      </w:r>
      <w:r w:rsidR="00966174">
        <w:rPr>
          <w:bCs/>
          <w:sz w:val="28"/>
          <w:szCs w:val="28"/>
          <w:lang w:val="pl-PL"/>
        </w:rPr>
        <w:t>.</w:t>
      </w:r>
      <w:r w:rsidR="006C510C" w:rsidRPr="006C510C">
        <w:rPr>
          <w:bCs/>
          <w:sz w:val="28"/>
          <w:szCs w:val="28"/>
          <w:lang w:val="pl-PL"/>
        </w:rPr>
        <w:t xml:space="preserve"> </w:t>
      </w:r>
      <w:r>
        <w:rPr>
          <w:bCs/>
          <w:sz w:val="28"/>
          <w:szCs w:val="28"/>
          <w:lang w:val="pl-PL"/>
        </w:rPr>
        <w:t xml:space="preserve">Tiêu chí xem xét quy định điều kiện và tỷ lệ thanh toán: </w:t>
      </w:r>
      <w:r w:rsidR="006454A8">
        <w:rPr>
          <w:bCs/>
          <w:sz w:val="28"/>
          <w:szCs w:val="28"/>
          <w:lang w:val="pl-PL"/>
        </w:rPr>
        <w:t>T</w:t>
      </w:r>
      <w:r w:rsidR="006C510C" w:rsidRPr="006C510C">
        <w:rPr>
          <w:bCs/>
          <w:sz w:val="28"/>
          <w:szCs w:val="28"/>
          <w:lang w:val="pl-PL"/>
        </w:rPr>
        <w:t xml:space="preserve">huốc đã có trong </w:t>
      </w:r>
      <w:r w:rsidR="006C510C" w:rsidRPr="006C510C">
        <w:rPr>
          <w:sz w:val="28"/>
          <w:szCs w:val="28"/>
        </w:rPr>
        <w:t xml:space="preserve">Danh mục thuốc hiện hành </w:t>
      </w:r>
      <w:r w:rsidR="006C510C" w:rsidRPr="006C510C">
        <w:rPr>
          <w:bCs/>
          <w:sz w:val="28"/>
          <w:szCs w:val="28"/>
          <w:lang w:val="pl-PL"/>
        </w:rPr>
        <w:t xml:space="preserve">và thuốc đề xuất bổ sung mới sẽ được xem xét để quy định điều kiện và tỷ lệ thanh toán </w:t>
      </w:r>
      <w:r w:rsidR="00734489">
        <w:rPr>
          <w:bCs/>
          <w:sz w:val="28"/>
          <w:szCs w:val="28"/>
          <w:lang w:val="pl-PL"/>
        </w:rPr>
        <w:t>khi</w:t>
      </w:r>
      <w:r w:rsidR="006C510C" w:rsidRPr="006C510C">
        <w:rPr>
          <w:bCs/>
          <w:sz w:val="28"/>
          <w:szCs w:val="28"/>
          <w:lang w:val="pl-PL"/>
        </w:rPr>
        <w:t xml:space="preserve"> </w:t>
      </w:r>
      <w:r w:rsidR="00734489">
        <w:rPr>
          <w:bCs/>
          <w:sz w:val="28"/>
          <w:szCs w:val="28"/>
          <w:lang w:val="pl-PL"/>
        </w:rPr>
        <w:t xml:space="preserve">có </w:t>
      </w:r>
      <w:r w:rsidR="006C510C" w:rsidRPr="006C510C">
        <w:rPr>
          <w:bCs/>
          <w:sz w:val="28"/>
          <w:szCs w:val="28"/>
          <w:lang w:val="pl-PL"/>
        </w:rPr>
        <w:t>các tiêu chí sau:</w:t>
      </w:r>
    </w:p>
    <w:p w14:paraId="75ADD7CC" w14:textId="77777777" w:rsidR="006C510C" w:rsidRPr="006C510C" w:rsidRDefault="00966174" w:rsidP="006C510C">
      <w:pPr>
        <w:widowControl w:val="0"/>
        <w:spacing w:before="120"/>
        <w:ind w:firstLine="720"/>
        <w:jc w:val="both"/>
        <w:rPr>
          <w:bCs/>
          <w:sz w:val="28"/>
          <w:szCs w:val="28"/>
          <w:lang w:val="pl-PL"/>
        </w:rPr>
      </w:pPr>
      <w:r>
        <w:rPr>
          <w:bCs/>
          <w:sz w:val="28"/>
          <w:szCs w:val="28"/>
          <w:lang w:val="pl-PL"/>
        </w:rPr>
        <w:t>a)</w:t>
      </w:r>
      <w:r w:rsidR="006C510C" w:rsidRPr="006C510C">
        <w:rPr>
          <w:bCs/>
          <w:sz w:val="28"/>
          <w:szCs w:val="28"/>
          <w:lang w:val="pl-PL"/>
        </w:rPr>
        <w:t xml:space="preserve"> Thuốc chi phí điều trị lớn hoặc tác động ngân sách lớn;</w:t>
      </w:r>
    </w:p>
    <w:p w14:paraId="293C99C2" w14:textId="77777777" w:rsidR="006C510C" w:rsidRPr="006C510C" w:rsidRDefault="00966174" w:rsidP="006C510C">
      <w:pPr>
        <w:widowControl w:val="0"/>
        <w:spacing w:before="120"/>
        <w:ind w:firstLine="720"/>
        <w:jc w:val="both"/>
        <w:rPr>
          <w:sz w:val="28"/>
          <w:szCs w:val="28"/>
          <w:lang w:val="pl-PL"/>
        </w:rPr>
      </w:pPr>
      <w:r>
        <w:rPr>
          <w:bCs/>
          <w:sz w:val="28"/>
          <w:szCs w:val="28"/>
          <w:lang w:val="pl-PL"/>
        </w:rPr>
        <w:t>b)</w:t>
      </w:r>
      <w:r w:rsidR="006C510C" w:rsidRPr="006C510C">
        <w:rPr>
          <w:bCs/>
          <w:sz w:val="28"/>
          <w:szCs w:val="28"/>
          <w:lang w:val="pl-PL"/>
        </w:rPr>
        <w:t xml:space="preserve"> Thuốc có nhiều chỉ định, trong đó có chỉ định mang tính hỗ trợ.</w:t>
      </w:r>
      <w:r w:rsidR="006C510C" w:rsidRPr="006C510C">
        <w:rPr>
          <w:sz w:val="28"/>
          <w:szCs w:val="28"/>
          <w:lang w:val="pl-PL"/>
        </w:rPr>
        <w:t xml:space="preserve"> Các chỉ định điều trị hỗ trợ được xem xét loại khỏi phạm vi chi trả. Các nhóm thuốc này sẽ quy định cụ thể về điều kiện chỉ định sử dụng trong một số trường hợp bệnh hoặc đối tượng sử dụng hoặc quy định tỷ lệ thanh toán để thống nhất trong sử dụng, thanh toán </w:t>
      </w:r>
      <w:r w:rsidR="004E7D2D">
        <w:rPr>
          <w:sz w:val="28"/>
          <w:szCs w:val="28"/>
          <w:lang w:val="pl-PL"/>
        </w:rPr>
        <w:t>bảo hiểm y tế</w:t>
      </w:r>
      <w:r w:rsidR="006C510C" w:rsidRPr="006C510C">
        <w:rPr>
          <w:sz w:val="28"/>
          <w:szCs w:val="28"/>
          <w:lang w:val="pl-PL"/>
        </w:rPr>
        <w:t xml:space="preserve"> và chống lạm dụng;</w:t>
      </w:r>
    </w:p>
    <w:p w14:paraId="14E369A4" w14:textId="62F97B4A" w:rsidR="00734489" w:rsidRDefault="008A3872" w:rsidP="006C510C">
      <w:pPr>
        <w:widowControl w:val="0"/>
        <w:spacing w:before="120"/>
        <w:ind w:firstLine="709"/>
        <w:jc w:val="both"/>
        <w:rPr>
          <w:sz w:val="28"/>
          <w:szCs w:val="28"/>
        </w:rPr>
      </w:pPr>
      <w:r>
        <w:rPr>
          <w:sz w:val="28"/>
          <w:szCs w:val="28"/>
          <w:lang w:val="pl-PL"/>
        </w:rPr>
        <w:t>3</w:t>
      </w:r>
      <w:r w:rsidR="00966174">
        <w:rPr>
          <w:sz w:val="28"/>
          <w:szCs w:val="28"/>
          <w:lang w:val="pl-PL"/>
        </w:rPr>
        <w:t>.</w:t>
      </w:r>
      <w:r w:rsidR="006C510C" w:rsidRPr="006C510C">
        <w:rPr>
          <w:sz w:val="28"/>
          <w:szCs w:val="28"/>
          <w:lang w:val="pl-PL"/>
        </w:rPr>
        <w:t xml:space="preserve"> </w:t>
      </w:r>
      <w:r w:rsidR="00734489">
        <w:rPr>
          <w:sz w:val="28"/>
          <w:szCs w:val="28"/>
        </w:rPr>
        <w:t>Tiêu chí xem xét</w:t>
      </w:r>
      <w:r w:rsidR="006C510C" w:rsidRPr="006C510C">
        <w:rPr>
          <w:sz w:val="28"/>
          <w:szCs w:val="28"/>
        </w:rPr>
        <w:t xml:space="preserve"> mở rộng điều kiện thanh toán</w:t>
      </w:r>
      <w:r w:rsidR="00734489">
        <w:rPr>
          <w:sz w:val="28"/>
          <w:szCs w:val="28"/>
        </w:rPr>
        <w:t xml:space="preserve"> hoặc</w:t>
      </w:r>
      <w:r w:rsidR="006C510C" w:rsidRPr="006C510C">
        <w:rPr>
          <w:sz w:val="28"/>
          <w:szCs w:val="28"/>
        </w:rPr>
        <w:t xml:space="preserve"> tăng tỷ lệ thanh </w:t>
      </w:r>
      <w:r w:rsidR="00734489">
        <w:rPr>
          <w:sz w:val="28"/>
          <w:szCs w:val="28"/>
        </w:rPr>
        <w:t xml:space="preserve"> </w:t>
      </w:r>
      <w:r w:rsidR="006C510C" w:rsidRPr="006C510C">
        <w:rPr>
          <w:sz w:val="28"/>
          <w:szCs w:val="28"/>
        </w:rPr>
        <w:t xml:space="preserve">toán: </w:t>
      </w:r>
      <w:r w:rsidR="008A1B3B">
        <w:rPr>
          <w:bCs/>
          <w:sz w:val="28"/>
          <w:szCs w:val="28"/>
          <w:lang w:val="pl-PL"/>
        </w:rPr>
        <w:t>T</w:t>
      </w:r>
      <w:r w:rsidR="008A1B3B" w:rsidRPr="006C510C">
        <w:rPr>
          <w:bCs/>
          <w:sz w:val="28"/>
          <w:szCs w:val="28"/>
          <w:lang w:val="pl-PL"/>
        </w:rPr>
        <w:t xml:space="preserve">huốc đã có trong </w:t>
      </w:r>
      <w:r w:rsidR="008A1B3B" w:rsidRPr="006C510C">
        <w:rPr>
          <w:sz w:val="28"/>
          <w:szCs w:val="28"/>
        </w:rPr>
        <w:t>Danh mục thuốc hiện hành</w:t>
      </w:r>
      <w:r w:rsidR="008A1B3B">
        <w:rPr>
          <w:sz w:val="28"/>
          <w:szCs w:val="28"/>
        </w:rPr>
        <w:t xml:space="preserve"> sẽ được xem xét để quy định điều kiện và tỷ lệ thanh toán khi có các tiêu chí sau:</w:t>
      </w:r>
    </w:p>
    <w:p w14:paraId="73587AF6" w14:textId="77777777" w:rsidR="00734489" w:rsidRDefault="00966174" w:rsidP="006C510C">
      <w:pPr>
        <w:widowControl w:val="0"/>
        <w:spacing w:before="120"/>
        <w:ind w:firstLine="709"/>
        <w:jc w:val="both"/>
        <w:rPr>
          <w:sz w:val="28"/>
          <w:szCs w:val="28"/>
          <w:lang w:val="pl-PL"/>
        </w:rPr>
      </w:pPr>
      <w:r>
        <w:rPr>
          <w:sz w:val="28"/>
          <w:szCs w:val="28"/>
        </w:rPr>
        <w:t>a)</w:t>
      </w:r>
      <w:r w:rsidR="00734489">
        <w:rPr>
          <w:sz w:val="28"/>
          <w:szCs w:val="28"/>
        </w:rPr>
        <w:t xml:space="preserve"> C</w:t>
      </w:r>
      <w:r w:rsidR="00734489" w:rsidRPr="006C510C">
        <w:rPr>
          <w:sz w:val="28"/>
          <w:szCs w:val="28"/>
          <w:lang w:val="pl-PL"/>
        </w:rPr>
        <w:t>ó</w:t>
      </w:r>
      <w:r w:rsidR="00734489" w:rsidRPr="006C510C">
        <w:rPr>
          <w:sz w:val="28"/>
          <w:szCs w:val="28"/>
        </w:rPr>
        <w:t xml:space="preserve"> </w:t>
      </w:r>
      <w:r w:rsidR="00734489" w:rsidRPr="006C510C">
        <w:rPr>
          <w:sz w:val="28"/>
          <w:szCs w:val="28"/>
          <w:lang w:val="pl-PL"/>
        </w:rPr>
        <w:t>đề xuất từ</w:t>
      </w:r>
      <w:r w:rsidR="00734489" w:rsidRPr="006C510C">
        <w:rPr>
          <w:sz w:val="28"/>
          <w:szCs w:val="28"/>
        </w:rPr>
        <w:t xml:space="preserve"> </w:t>
      </w:r>
      <w:r w:rsidR="00695F64" w:rsidRPr="006C510C">
        <w:rPr>
          <w:sz w:val="28"/>
          <w:szCs w:val="28"/>
          <w:lang w:val="pl-PL"/>
        </w:rPr>
        <w:t xml:space="preserve">cơ quan quản lý về y tế, </w:t>
      </w:r>
      <w:r w:rsidR="00695F64">
        <w:rPr>
          <w:sz w:val="28"/>
          <w:szCs w:val="28"/>
          <w:lang w:val="pl-PL"/>
        </w:rPr>
        <w:t xml:space="preserve">hoặc </w:t>
      </w:r>
      <w:r w:rsidR="00695F64" w:rsidRPr="006C510C">
        <w:rPr>
          <w:sz w:val="28"/>
          <w:szCs w:val="28"/>
          <w:lang w:val="pl-PL"/>
        </w:rPr>
        <w:t xml:space="preserve">cơ sở khám chữa bệnh, </w:t>
      </w:r>
      <w:r w:rsidR="00695F64">
        <w:rPr>
          <w:sz w:val="28"/>
          <w:szCs w:val="28"/>
          <w:lang w:val="pl-PL"/>
        </w:rPr>
        <w:t xml:space="preserve">hoặc </w:t>
      </w:r>
      <w:r w:rsidR="00695F64" w:rsidRPr="006C510C">
        <w:rPr>
          <w:sz w:val="28"/>
          <w:szCs w:val="28"/>
          <w:lang w:val="pl-PL"/>
        </w:rPr>
        <w:t>Hội y khoa, dược khoa</w:t>
      </w:r>
      <w:r w:rsidR="00695F64">
        <w:rPr>
          <w:sz w:val="28"/>
          <w:szCs w:val="28"/>
          <w:lang w:val="pl-PL"/>
        </w:rPr>
        <w:t>, hoặc Hội bệnh học</w:t>
      </w:r>
      <w:r w:rsidR="00D91D97">
        <w:rPr>
          <w:sz w:val="28"/>
          <w:szCs w:val="28"/>
          <w:lang w:val="pl-PL"/>
        </w:rPr>
        <w:t>,</w:t>
      </w:r>
      <w:r w:rsidR="00D91D97" w:rsidRPr="00464764">
        <w:rPr>
          <w:sz w:val="28"/>
          <w:szCs w:val="28"/>
          <w:lang w:val="pl-PL"/>
        </w:rPr>
        <w:t xml:space="preserve"> </w:t>
      </w:r>
      <w:r w:rsidR="00272924" w:rsidRPr="00464764">
        <w:rPr>
          <w:sz w:val="28"/>
          <w:szCs w:val="28"/>
          <w:lang w:val="pl-PL"/>
        </w:rPr>
        <w:t xml:space="preserve">hoặc </w:t>
      </w:r>
      <w:r w:rsidR="00D91D97" w:rsidRPr="00464764">
        <w:rPr>
          <w:sz w:val="28"/>
          <w:szCs w:val="28"/>
          <w:lang w:val="pl-PL"/>
        </w:rPr>
        <w:t>cơ sở kinh doanh dược</w:t>
      </w:r>
      <w:r w:rsidR="00695F64" w:rsidRPr="00464764">
        <w:rPr>
          <w:sz w:val="28"/>
          <w:szCs w:val="28"/>
          <w:lang w:val="pl-PL"/>
        </w:rPr>
        <w:t xml:space="preserve"> </w:t>
      </w:r>
      <w:r w:rsidR="00734489" w:rsidRPr="006C510C">
        <w:rPr>
          <w:sz w:val="28"/>
          <w:szCs w:val="28"/>
        </w:rPr>
        <w:t xml:space="preserve">và </w:t>
      </w:r>
      <w:r w:rsidR="00734489" w:rsidRPr="006C510C">
        <w:rPr>
          <w:sz w:val="28"/>
          <w:szCs w:val="28"/>
          <w:lang w:val="pl-PL"/>
        </w:rPr>
        <w:t>có hồ sơ cung cấp theo yêu cầu của Bộ Y tế</w:t>
      </w:r>
      <w:r w:rsidR="00734489">
        <w:rPr>
          <w:sz w:val="28"/>
          <w:szCs w:val="28"/>
          <w:lang w:val="pl-PL"/>
        </w:rPr>
        <w:t>;</w:t>
      </w:r>
    </w:p>
    <w:p w14:paraId="24722D06" w14:textId="77777777" w:rsidR="006C510C" w:rsidRPr="006C510C" w:rsidRDefault="00966174" w:rsidP="006C510C">
      <w:pPr>
        <w:widowControl w:val="0"/>
        <w:spacing w:before="120"/>
        <w:ind w:firstLine="709"/>
        <w:jc w:val="both"/>
        <w:rPr>
          <w:sz w:val="28"/>
          <w:szCs w:val="28"/>
          <w:lang w:val="pl-PL"/>
        </w:rPr>
      </w:pPr>
      <w:r>
        <w:rPr>
          <w:sz w:val="28"/>
          <w:szCs w:val="28"/>
          <w:lang w:val="pl-PL"/>
        </w:rPr>
        <w:t>b)</w:t>
      </w:r>
      <w:r w:rsidR="00734489">
        <w:rPr>
          <w:sz w:val="28"/>
          <w:szCs w:val="28"/>
          <w:lang w:val="pl-PL"/>
        </w:rPr>
        <w:t xml:space="preserve"> </w:t>
      </w:r>
      <w:r w:rsidR="00734489">
        <w:rPr>
          <w:sz w:val="28"/>
          <w:szCs w:val="28"/>
        </w:rPr>
        <w:t>C</w:t>
      </w:r>
      <w:r w:rsidR="006C510C" w:rsidRPr="006C510C">
        <w:rPr>
          <w:sz w:val="28"/>
          <w:szCs w:val="28"/>
          <w:lang w:val="pl-PL"/>
        </w:rPr>
        <w:t>ó đánh giá tác động ngân sách</w:t>
      </w:r>
      <w:r w:rsidR="00734489">
        <w:rPr>
          <w:sz w:val="28"/>
          <w:szCs w:val="28"/>
          <w:lang w:val="pl-PL"/>
        </w:rPr>
        <w:t xml:space="preserve"> </w:t>
      </w:r>
      <w:r w:rsidR="00734489" w:rsidRPr="006C510C">
        <w:rPr>
          <w:sz w:val="28"/>
          <w:szCs w:val="28"/>
        </w:rPr>
        <w:t>tại Việt Nam.</w:t>
      </w:r>
    </w:p>
    <w:p w14:paraId="73318018" w14:textId="77777777" w:rsidR="006C510C" w:rsidRPr="006C510C" w:rsidRDefault="00615682" w:rsidP="006C510C">
      <w:pPr>
        <w:widowControl w:val="0"/>
        <w:spacing w:before="120"/>
        <w:ind w:firstLine="720"/>
        <w:jc w:val="both"/>
        <w:rPr>
          <w:b/>
          <w:sz w:val="28"/>
          <w:szCs w:val="28"/>
          <w:lang w:val="pl-PL"/>
        </w:rPr>
      </w:pPr>
      <w:r>
        <w:rPr>
          <w:b/>
          <w:sz w:val="28"/>
          <w:szCs w:val="28"/>
          <w:lang w:val="pl-PL"/>
        </w:rPr>
        <w:t>Điều 5</w:t>
      </w:r>
      <w:r w:rsidR="006C510C" w:rsidRPr="006C510C">
        <w:rPr>
          <w:b/>
          <w:sz w:val="28"/>
          <w:szCs w:val="28"/>
          <w:lang w:val="pl-PL"/>
        </w:rPr>
        <w:t>. Tiêu chí mở rộng hạng bệnh viện/tuyến/cấp chuyên môn sử dụng</w:t>
      </w:r>
    </w:p>
    <w:p w14:paraId="4D0BFC73" w14:textId="77777777" w:rsidR="006C510C" w:rsidRPr="006C510C" w:rsidRDefault="006C510C" w:rsidP="006C510C">
      <w:pPr>
        <w:widowControl w:val="0"/>
        <w:spacing w:before="120"/>
        <w:ind w:firstLine="720"/>
        <w:jc w:val="both"/>
        <w:rPr>
          <w:sz w:val="28"/>
          <w:szCs w:val="28"/>
          <w:lang w:val="pl-PL"/>
        </w:rPr>
      </w:pPr>
      <w:r w:rsidRPr="006C510C">
        <w:rPr>
          <w:sz w:val="28"/>
          <w:szCs w:val="28"/>
          <w:lang w:val="pl-PL"/>
        </w:rPr>
        <w:t>Thuốc được xem xét mở rộng sử dụng ở hạng bệnh viện</w:t>
      </w:r>
      <w:r w:rsidRPr="006C510C">
        <w:rPr>
          <w:b/>
          <w:sz w:val="28"/>
          <w:szCs w:val="28"/>
          <w:lang w:val="pl-PL"/>
        </w:rPr>
        <w:t>/</w:t>
      </w:r>
      <w:r w:rsidRPr="006C510C">
        <w:rPr>
          <w:bCs/>
          <w:sz w:val="28"/>
          <w:szCs w:val="28"/>
          <w:lang w:val="pl-PL"/>
        </w:rPr>
        <w:t>tuyến/cấp chuyên môn</w:t>
      </w:r>
      <w:r w:rsidRPr="006C510C">
        <w:rPr>
          <w:sz w:val="28"/>
          <w:szCs w:val="28"/>
          <w:lang w:val="pl-PL"/>
        </w:rPr>
        <w:t xml:space="preserve"> thấp hơn khi đạt tất cả các tiêu chí sau:</w:t>
      </w:r>
    </w:p>
    <w:p w14:paraId="5FE098A0" w14:textId="77777777" w:rsidR="006C510C" w:rsidRPr="006C510C" w:rsidRDefault="006C510C" w:rsidP="006C510C">
      <w:pPr>
        <w:widowControl w:val="0"/>
        <w:spacing w:before="120"/>
        <w:ind w:firstLine="600"/>
        <w:jc w:val="both"/>
        <w:rPr>
          <w:bCs/>
          <w:sz w:val="28"/>
          <w:szCs w:val="28"/>
          <w:lang w:val="pl-PL"/>
        </w:rPr>
      </w:pPr>
      <w:r w:rsidRPr="006C510C">
        <w:rPr>
          <w:sz w:val="28"/>
          <w:szCs w:val="28"/>
          <w:lang w:val="pl-PL"/>
        </w:rPr>
        <w:t xml:space="preserve">  </w:t>
      </w:r>
      <w:r w:rsidR="00966174">
        <w:rPr>
          <w:sz w:val="28"/>
          <w:szCs w:val="28"/>
          <w:lang w:val="pl-PL"/>
        </w:rPr>
        <w:t>1.</w:t>
      </w:r>
      <w:r w:rsidRPr="006C510C">
        <w:rPr>
          <w:sz w:val="28"/>
          <w:szCs w:val="28"/>
          <w:lang w:val="pl-PL"/>
        </w:rPr>
        <w:t xml:space="preserve"> T</w:t>
      </w:r>
      <w:r w:rsidRPr="006C510C">
        <w:rPr>
          <w:bCs/>
          <w:sz w:val="28"/>
          <w:szCs w:val="28"/>
          <w:lang w:val="pl-PL"/>
        </w:rPr>
        <w:t xml:space="preserve">huốc có trong hướng dẫn chẩn đoán, điều trị của Bộ Y tế, hoặc WHO hoặc các </w:t>
      </w:r>
      <w:r w:rsidRPr="006C510C">
        <w:rPr>
          <w:sz w:val="28"/>
          <w:szCs w:val="28"/>
          <w:lang w:val="pl-PL"/>
        </w:rPr>
        <w:t>Hội y khoa, dược khoa có uy tín trên thế giới</w:t>
      </w:r>
      <w:r w:rsidRPr="006C510C">
        <w:rPr>
          <w:bCs/>
          <w:sz w:val="28"/>
          <w:szCs w:val="28"/>
          <w:lang w:val="pl-PL"/>
        </w:rPr>
        <w:t>, thực sự cần thiết và chưa có thuốc thay thế ở hạng /tuyến /cấp chuyên môn thấp hơn;</w:t>
      </w:r>
    </w:p>
    <w:p w14:paraId="464C0B97" w14:textId="4122FDD1" w:rsidR="006C510C" w:rsidRPr="006C510C" w:rsidRDefault="00966174" w:rsidP="006C510C">
      <w:pPr>
        <w:widowControl w:val="0"/>
        <w:spacing w:before="120"/>
        <w:ind w:firstLine="720"/>
        <w:jc w:val="both"/>
        <w:rPr>
          <w:sz w:val="28"/>
          <w:szCs w:val="28"/>
          <w:lang w:val="pl-PL"/>
        </w:rPr>
      </w:pPr>
      <w:r>
        <w:rPr>
          <w:bCs/>
          <w:sz w:val="28"/>
          <w:szCs w:val="28"/>
          <w:lang w:val="pl-PL"/>
        </w:rPr>
        <w:t>2.</w:t>
      </w:r>
      <w:r w:rsidR="006C510C" w:rsidRPr="006C510C">
        <w:rPr>
          <w:bCs/>
          <w:sz w:val="28"/>
          <w:szCs w:val="28"/>
          <w:lang w:val="pl-PL"/>
        </w:rPr>
        <w:t xml:space="preserve"> Thuốc được các tiểu ban tư vấn chuyên môn</w:t>
      </w:r>
      <w:r w:rsidR="006C510C" w:rsidRPr="006C510C">
        <w:rPr>
          <w:b/>
          <w:sz w:val="28"/>
          <w:szCs w:val="28"/>
          <w:lang w:val="pl-PL"/>
        </w:rPr>
        <w:t xml:space="preserve"> </w:t>
      </w:r>
      <w:r w:rsidR="006C510C" w:rsidRPr="006C510C">
        <w:rPr>
          <w:bCs/>
          <w:sz w:val="28"/>
          <w:szCs w:val="28"/>
          <w:lang w:val="pl-PL"/>
        </w:rPr>
        <w:t xml:space="preserve">đánh giá khả năng chuyên môn của hạng/tuyến/cấp chuyên môn thấp hơn có thể sử dụng thuốc bảo đảm điều trị an toàn, hợp lý, hiệu quả; hoặc tiếp nhận hiệu quả việc chuyển giao chuyên môn từ tuyến trên; hoặc </w:t>
      </w:r>
      <w:r w:rsidR="006C510C" w:rsidRPr="006C510C">
        <w:rPr>
          <w:sz w:val="28"/>
          <w:szCs w:val="28"/>
          <w:lang w:val="pl-PL"/>
        </w:rPr>
        <w:t>có hiệu quả điều trị rõ ràng, có trong hướng dẫn chẩn đoán và điều trị của Bộ Y tế hoặc WHO, Hội y khoa, dược khoa có uy tín trên thế giới và được khuyến cáo sử dụng tại hạng/tuyến/cấp chuyên môn đó</w:t>
      </w:r>
      <w:r w:rsidR="00C056DF">
        <w:rPr>
          <w:sz w:val="28"/>
          <w:szCs w:val="28"/>
          <w:lang w:val="pl-PL"/>
        </w:rPr>
        <w:t>.</w:t>
      </w:r>
    </w:p>
    <w:p w14:paraId="6E65750C" w14:textId="77777777" w:rsidR="006C510C" w:rsidRPr="006C510C" w:rsidRDefault="006C510C" w:rsidP="006C510C">
      <w:pPr>
        <w:widowControl w:val="0"/>
        <w:spacing w:before="120"/>
        <w:ind w:firstLine="601"/>
        <w:jc w:val="both"/>
        <w:rPr>
          <w:sz w:val="28"/>
          <w:szCs w:val="28"/>
        </w:rPr>
      </w:pPr>
      <w:r w:rsidRPr="006C510C">
        <w:rPr>
          <w:sz w:val="28"/>
          <w:szCs w:val="28"/>
          <w:lang w:val="pl-PL"/>
        </w:rPr>
        <w:t xml:space="preserve"> </w:t>
      </w:r>
      <w:r w:rsidR="00966174">
        <w:rPr>
          <w:sz w:val="28"/>
          <w:szCs w:val="28"/>
          <w:lang w:val="pl-PL"/>
        </w:rPr>
        <w:t>3.</w:t>
      </w:r>
      <w:r w:rsidRPr="006C510C">
        <w:rPr>
          <w:sz w:val="28"/>
          <w:szCs w:val="28"/>
          <w:lang w:val="pl-PL"/>
        </w:rPr>
        <w:t xml:space="preserve"> Có đề xuất </w:t>
      </w:r>
      <w:r w:rsidR="00695F64" w:rsidRPr="006C510C">
        <w:rPr>
          <w:sz w:val="28"/>
          <w:szCs w:val="28"/>
          <w:lang w:val="pl-PL"/>
        </w:rPr>
        <w:t>từ</w:t>
      </w:r>
      <w:r w:rsidR="00695F64" w:rsidRPr="006C510C">
        <w:rPr>
          <w:sz w:val="28"/>
          <w:szCs w:val="28"/>
        </w:rPr>
        <w:t xml:space="preserve"> </w:t>
      </w:r>
      <w:r w:rsidR="00695F64" w:rsidRPr="006C510C">
        <w:rPr>
          <w:sz w:val="28"/>
          <w:szCs w:val="28"/>
          <w:lang w:val="pl-PL"/>
        </w:rPr>
        <w:t xml:space="preserve">cơ quan quản lý về y tế, </w:t>
      </w:r>
      <w:r w:rsidR="00695F64">
        <w:rPr>
          <w:sz w:val="28"/>
          <w:szCs w:val="28"/>
          <w:lang w:val="pl-PL"/>
        </w:rPr>
        <w:t xml:space="preserve">hoặc </w:t>
      </w:r>
      <w:r w:rsidR="00695F64" w:rsidRPr="006C510C">
        <w:rPr>
          <w:sz w:val="28"/>
          <w:szCs w:val="28"/>
          <w:lang w:val="pl-PL"/>
        </w:rPr>
        <w:t xml:space="preserve">cơ sở khám chữa bệnh, </w:t>
      </w:r>
      <w:r w:rsidR="00695F64">
        <w:rPr>
          <w:sz w:val="28"/>
          <w:szCs w:val="28"/>
          <w:lang w:val="pl-PL"/>
        </w:rPr>
        <w:t xml:space="preserve">hoặc </w:t>
      </w:r>
      <w:r w:rsidR="00695F64" w:rsidRPr="006C510C">
        <w:rPr>
          <w:sz w:val="28"/>
          <w:szCs w:val="28"/>
          <w:lang w:val="pl-PL"/>
        </w:rPr>
        <w:lastRenderedPageBreak/>
        <w:t>Hội y khoa, dược khoa</w:t>
      </w:r>
      <w:r w:rsidR="00695F64">
        <w:rPr>
          <w:sz w:val="28"/>
          <w:szCs w:val="28"/>
          <w:lang w:val="pl-PL"/>
        </w:rPr>
        <w:t>, hoặc Hội bệnh học</w:t>
      </w:r>
      <w:r w:rsidR="00D91D97">
        <w:rPr>
          <w:sz w:val="28"/>
          <w:szCs w:val="28"/>
          <w:lang w:val="pl-PL"/>
        </w:rPr>
        <w:t xml:space="preserve">, </w:t>
      </w:r>
      <w:r w:rsidR="00272924" w:rsidRPr="00942A2A">
        <w:rPr>
          <w:sz w:val="28"/>
          <w:szCs w:val="28"/>
          <w:lang w:val="pl-PL"/>
        </w:rPr>
        <w:t xml:space="preserve">hoặc </w:t>
      </w:r>
      <w:r w:rsidR="00D91D97" w:rsidRPr="00942A2A">
        <w:rPr>
          <w:sz w:val="28"/>
          <w:szCs w:val="28"/>
          <w:lang w:val="pl-PL"/>
        </w:rPr>
        <w:t>cơ sở kinh doanh dược</w:t>
      </w:r>
      <w:r w:rsidR="00695F64" w:rsidRPr="00942A2A">
        <w:rPr>
          <w:sz w:val="28"/>
          <w:szCs w:val="28"/>
          <w:lang w:val="pl-PL"/>
        </w:rPr>
        <w:t xml:space="preserve"> </w:t>
      </w:r>
      <w:r w:rsidRPr="006C510C">
        <w:rPr>
          <w:sz w:val="28"/>
          <w:szCs w:val="28"/>
          <w:lang w:val="pl-PL"/>
        </w:rPr>
        <w:t>và có hồ sơ sản phẩm cung cấp đầy đủ thông tin theo yêu cầu của Bộ Y tế. Trường hợp không có đề xuất hoặc đề xuất không theo mẫu, căn cứ ý kiến của tiểu ban tư vấn chuyên môn để xem xét m</w:t>
      </w:r>
      <w:r w:rsidRPr="006C510C">
        <w:rPr>
          <w:sz w:val="28"/>
          <w:szCs w:val="28"/>
          <w:lang w:val="vi-VN"/>
        </w:rPr>
        <w:t>ở rộng</w:t>
      </w:r>
      <w:r w:rsidRPr="006C510C">
        <w:rPr>
          <w:sz w:val="28"/>
          <w:szCs w:val="28"/>
        </w:rPr>
        <w:t xml:space="preserve"> </w:t>
      </w:r>
      <w:r w:rsidRPr="006C510C">
        <w:rPr>
          <w:sz w:val="28"/>
          <w:szCs w:val="28"/>
          <w:lang w:val="pl-PL"/>
        </w:rPr>
        <w:t xml:space="preserve">hạng/tuyến/cấp chuyên môn </w:t>
      </w:r>
      <w:r w:rsidRPr="006C510C">
        <w:rPr>
          <w:sz w:val="28"/>
          <w:szCs w:val="28"/>
          <w:lang w:val="vi-VN"/>
        </w:rPr>
        <w:t>viện sử dụng</w:t>
      </w:r>
      <w:r w:rsidRPr="006C510C">
        <w:rPr>
          <w:sz w:val="28"/>
          <w:szCs w:val="28"/>
        </w:rPr>
        <w:t>;</w:t>
      </w:r>
    </w:p>
    <w:p w14:paraId="45483B5B" w14:textId="77777777" w:rsidR="006C510C" w:rsidRDefault="00966174" w:rsidP="006C510C">
      <w:pPr>
        <w:widowControl w:val="0"/>
        <w:spacing w:before="120"/>
        <w:ind w:firstLine="720"/>
        <w:jc w:val="both"/>
        <w:rPr>
          <w:sz w:val="28"/>
          <w:szCs w:val="28"/>
          <w:lang w:val="vi-VN"/>
        </w:rPr>
      </w:pPr>
      <w:r>
        <w:rPr>
          <w:sz w:val="28"/>
          <w:szCs w:val="28"/>
          <w:lang w:val="pl-PL"/>
        </w:rPr>
        <w:t>4.</w:t>
      </w:r>
      <w:r w:rsidR="006C510C" w:rsidRPr="006C510C">
        <w:rPr>
          <w:sz w:val="28"/>
          <w:szCs w:val="28"/>
          <w:lang w:val="pl-PL"/>
        </w:rPr>
        <w:t xml:space="preserve"> Có đánh giá tác động ngân sách</w:t>
      </w:r>
      <w:r w:rsidR="004E7D2D">
        <w:rPr>
          <w:sz w:val="28"/>
          <w:szCs w:val="28"/>
          <w:lang w:val="pl-PL"/>
        </w:rPr>
        <w:t xml:space="preserve"> tại Việt Nam</w:t>
      </w:r>
      <w:r w:rsidR="006C510C" w:rsidRPr="006C510C">
        <w:rPr>
          <w:sz w:val="28"/>
          <w:szCs w:val="28"/>
          <w:lang w:val="pl-PL"/>
        </w:rPr>
        <w:t xml:space="preserve"> khi mở rộng hạng/tuyến/cấp chuyên môn,</w:t>
      </w:r>
      <w:r w:rsidR="006C510C" w:rsidRPr="006C510C">
        <w:rPr>
          <w:sz w:val="28"/>
          <w:szCs w:val="28"/>
          <w:lang w:val="vi-VN"/>
        </w:rPr>
        <w:t xml:space="preserve"> trừ một số thuốc mở rộng cho bệnh viện chuyên khoa tuyến tỉnh và trạm y tế xã theo yêu cầu chuyên môn và phù hợp với năng lực của hạng/tuyến</w:t>
      </w:r>
      <w:r w:rsidR="006C510C" w:rsidRPr="006C510C">
        <w:rPr>
          <w:sz w:val="28"/>
          <w:szCs w:val="28"/>
        </w:rPr>
        <w:t>/cấp chuyên môn</w:t>
      </w:r>
      <w:r w:rsidR="006C510C" w:rsidRPr="006C510C">
        <w:rPr>
          <w:sz w:val="28"/>
          <w:szCs w:val="28"/>
          <w:lang w:val="vi-VN"/>
        </w:rPr>
        <w:t xml:space="preserve"> được mở rộng.</w:t>
      </w:r>
    </w:p>
    <w:p w14:paraId="7F19DE68" w14:textId="77777777" w:rsidR="00966174" w:rsidRDefault="00966174" w:rsidP="006C510C">
      <w:pPr>
        <w:widowControl w:val="0"/>
        <w:spacing w:before="120"/>
        <w:ind w:firstLine="720"/>
        <w:jc w:val="both"/>
        <w:rPr>
          <w:sz w:val="28"/>
          <w:szCs w:val="28"/>
          <w:lang w:val="vi-VN"/>
        </w:rPr>
      </w:pPr>
      <w:r>
        <w:rPr>
          <w:b/>
          <w:sz w:val="28"/>
          <w:szCs w:val="28"/>
          <w:lang w:val="pl-PL"/>
        </w:rPr>
        <w:t>Điều 6</w:t>
      </w:r>
      <w:r w:rsidRPr="006C510C">
        <w:rPr>
          <w:b/>
          <w:sz w:val="28"/>
          <w:szCs w:val="28"/>
          <w:lang w:val="pl-PL"/>
        </w:rPr>
        <w:t>. T</w:t>
      </w:r>
      <w:r>
        <w:rPr>
          <w:b/>
          <w:sz w:val="28"/>
          <w:szCs w:val="28"/>
          <w:lang w:val="pl-PL"/>
        </w:rPr>
        <w:t>ổ chức thực hiện</w:t>
      </w:r>
    </w:p>
    <w:p w14:paraId="1E763F82" w14:textId="77777777" w:rsidR="00966174" w:rsidRPr="003E2866" w:rsidRDefault="00966174" w:rsidP="00966174">
      <w:pPr>
        <w:widowControl w:val="0"/>
        <w:spacing w:before="120" w:after="120"/>
        <w:ind w:firstLine="720"/>
        <w:jc w:val="both"/>
        <w:rPr>
          <w:sz w:val="28"/>
          <w:szCs w:val="28"/>
          <w:lang w:val="pt-BR"/>
        </w:rPr>
      </w:pPr>
      <w:r>
        <w:rPr>
          <w:sz w:val="28"/>
          <w:szCs w:val="28"/>
          <w:lang w:val="pt-BR"/>
        </w:rPr>
        <w:t xml:space="preserve">1. Vụ Bảo hiểm y tế, </w:t>
      </w:r>
      <w:r w:rsidRPr="003E2866">
        <w:rPr>
          <w:sz w:val="28"/>
          <w:szCs w:val="28"/>
          <w:lang w:val="pt-BR"/>
        </w:rPr>
        <w:t xml:space="preserve">Bộ Y tế có trách nhiệm: </w:t>
      </w:r>
    </w:p>
    <w:p w14:paraId="396F1E4A" w14:textId="77777777" w:rsidR="00966174" w:rsidRPr="00932B3E" w:rsidRDefault="00966174" w:rsidP="00966174">
      <w:pPr>
        <w:widowControl w:val="0"/>
        <w:spacing w:before="120" w:after="120"/>
        <w:ind w:firstLine="720"/>
        <w:jc w:val="both"/>
        <w:rPr>
          <w:sz w:val="28"/>
          <w:szCs w:val="28"/>
          <w:lang w:val="pt-BR"/>
        </w:rPr>
      </w:pPr>
      <w:r w:rsidRPr="003E2866">
        <w:rPr>
          <w:sz w:val="28"/>
          <w:szCs w:val="28"/>
          <w:lang w:val="pt-BR"/>
        </w:rPr>
        <w:t xml:space="preserve">a) </w:t>
      </w:r>
      <w:r>
        <w:rPr>
          <w:sz w:val="28"/>
          <w:szCs w:val="28"/>
          <w:lang w:val="pt-BR"/>
        </w:rPr>
        <w:t>Tổ chức triển khai, hướng dẫn</w:t>
      </w:r>
      <w:r w:rsidRPr="003E2866">
        <w:rPr>
          <w:sz w:val="28"/>
          <w:szCs w:val="28"/>
          <w:lang w:val="pt-BR"/>
        </w:rPr>
        <w:t xml:space="preserve"> việc thực hiện Thông tư này </w:t>
      </w:r>
      <w:r>
        <w:rPr>
          <w:sz w:val="28"/>
          <w:szCs w:val="28"/>
          <w:lang w:val="pt-BR"/>
        </w:rPr>
        <w:t>để xây dựng</w:t>
      </w:r>
      <w:r w:rsidRPr="00932B3E">
        <w:rPr>
          <w:sz w:val="28"/>
          <w:szCs w:val="28"/>
          <w:lang w:val="pt-BR"/>
        </w:rPr>
        <w:t xml:space="preserve"> </w:t>
      </w:r>
      <w:r w:rsidR="00932B3E" w:rsidRPr="00932B3E">
        <w:rPr>
          <w:sz w:val="28"/>
          <w:szCs w:val="28"/>
          <w:lang w:val="pl-PL"/>
        </w:rPr>
        <w:t xml:space="preserve">Danh mục và tỷ lệ, điều kiện thanh toán đối với thuốc </w:t>
      </w:r>
      <w:r w:rsidR="00932B3E" w:rsidRPr="00932B3E">
        <w:rPr>
          <w:bCs/>
          <w:sz w:val="28"/>
          <w:szCs w:val="28"/>
          <w:lang w:val="pl-PL"/>
        </w:rPr>
        <w:t>hóa dược, sinh phẩm, thuốc phóng xạ và chất đánh dấu thuộc</w:t>
      </w:r>
      <w:r w:rsidR="00932B3E" w:rsidRPr="00932B3E">
        <w:rPr>
          <w:sz w:val="28"/>
          <w:szCs w:val="28"/>
          <w:lang w:val="pl-PL"/>
        </w:rPr>
        <w:t xml:space="preserve"> phạm vi được hưởng của người tham gia bảo hiểm y tế</w:t>
      </w:r>
      <w:r w:rsidRPr="00932B3E">
        <w:rPr>
          <w:sz w:val="28"/>
          <w:szCs w:val="28"/>
          <w:lang w:val="pt-BR"/>
        </w:rPr>
        <w:t>;</w:t>
      </w:r>
    </w:p>
    <w:p w14:paraId="76E9E255" w14:textId="77777777" w:rsidR="00966174" w:rsidRDefault="00966174" w:rsidP="00966174">
      <w:pPr>
        <w:widowControl w:val="0"/>
        <w:spacing w:before="120"/>
        <w:ind w:firstLine="720"/>
        <w:jc w:val="both"/>
        <w:rPr>
          <w:sz w:val="28"/>
          <w:szCs w:val="28"/>
          <w:lang w:val="pt-BR"/>
        </w:rPr>
      </w:pPr>
      <w:r w:rsidRPr="003E2866">
        <w:rPr>
          <w:sz w:val="28"/>
          <w:szCs w:val="28"/>
          <w:lang w:val="pt-BR"/>
        </w:rPr>
        <w:t>b) Chủ trì, phối hợp với các cơ quan liên quan giải quyết các vướng mắc phát sinh trong quá trình tổ chức thực hiện;</w:t>
      </w:r>
    </w:p>
    <w:p w14:paraId="059CD4D6" w14:textId="77777777" w:rsidR="00932B3E" w:rsidRDefault="00932B3E" w:rsidP="00966174">
      <w:pPr>
        <w:widowControl w:val="0"/>
        <w:spacing w:before="120"/>
        <w:ind w:firstLine="720"/>
        <w:jc w:val="both"/>
        <w:rPr>
          <w:sz w:val="28"/>
          <w:szCs w:val="28"/>
          <w:lang w:val="pt-BR"/>
        </w:rPr>
      </w:pPr>
      <w:r w:rsidRPr="00932B3E">
        <w:rPr>
          <w:sz w:val="28"/>
          <w:szCs w:val="28"/>
          <w:lang w:val="pt-BR"/>
        </w:rPr>
        <w:t xml:space="preserve">c) Cập nhật, điều chỉnh, sửa đổi, bổ sung </w:t>
      </w:r>
      <w:r>
        <w:rPr>
          <w:sz w:val="28"/>
          <w:szCs w:val="28"/>
          <w:lang w:val="pt-BR"/>
        </w:rPr>
        <w:t>nguyên tắc, tiêu chí,</w:t>
      </w:r>
      <w:r w:rsidRPr="00932B3E">
        <w:rPr>
          <w:sz w:val="28"/>
          <w:szCs w:val="28"/>
          <w:lang w:val="pt-BR"/>
        </w:rPr>
        <w:t xml:space="preserve"> đáp ứng với nhu cầu điều trị và phù hợp với khả năng thanh toán của Quỹ bảo hiểm y tế</w:t>
      </w:r>
      <w:r>
        <w:rPr>
          <w:sz w:val="28"/>
          <w:szCs w:val="28"/>
          <w:lang w:val="pt-BR"/>
        </w:rPr>
        <w:t>.</w:t>
      </w:r>
    </w:p>
    <w:p w14:paraId="6C9DD641" w14:textId="0F044F69" w:rsidR="008E0C08" w:rsidRDefault="00932B3E" w:rsidP="00966174">
      <w:pPr>
        <w:widowControl w:val="0"/>
        <w:spacing w:before="120"/>
        <w:ind w:firstLine="720"/>
        <w:jc w:val="both"/>
        <w:rPr>
          <w:sz w:val="28"/>
          <w:szCs w:val="28"/>
          <w:lang w:val="pt-BR"/>
        </w:rPr>
      </w:pPr>
      <w:r>
        <w:rPr>
          <w:sz w:val="28"/>
          <w:szCs w:val="28"/>
          <w:lang w:val="pt-BR"/>
        </w:rPr>
        <w:t xml:space="preserve">2. </w:t>
      </w:r>
      <w:r w:rsidR="008A1B3B">
        <w:rPr>
          <w:sz w:val="28"/>
          <w:szCs w:val="28"/>
          <w:lang w:val="pt-BR"/>
        </w:rPr>
        <w:t>S</w:t>
      </w:r>
      <w:r w:rsidR="008A1B3B" w:rsidRPr="005713FF">
        <w:rPr>
          <w:sz w:val="28"/>
          <w:szCs w:val="28"/>
          <w:lang w:val="pt-BR"/>
        </w:rPr>
        <w:t>ở Y tế tỉnh, thành phố trực thuộc trung ương</w:t>
      </w:r>
      <w:r w:rsidR="008E0C08">
        <w:rPr>
          <w:sz w:val="28"/>
          <w:szCs w:val="28"/>
          <w:lang w:val="pt-BR"/>
        </w:rPr>
        <w:t xml:space="preserve"> có</w:t>
      </w:r>
      <w:r w:rsidR="008A1B3B" w:rsidRPr="005713FF">
        <w:rPr>
          <w:sz w:val="28"/>
          <w:szCs w:val="28"/>
          <w:lang w:val="pt-BR"/>
        </w:rPr>
        <w:t xml:space="preserve"> trách nhiệm</w:t>
      </w:r>
      <w:r w:rsidR="008E0C08">
        <w:rPr>
          <w:sz w:val="28"/>
          <w:szCs w:val="28"/>
          <w:lang w:val="pt-BR"/>
        </w:rPr>
        <w:t>:</w:t>
      </w:r>
    </w:p>
    <w:p w14:paraId="7E316482" w14:textId="77777777" w:rsidR="008E0C08" w:rsidRDefault="008E0C08" w:rsidP="00966174">
      <w:pPr>
        <w:widowControl w:val="0"/>
        <w:spacing w:before="120"/>
        <w:ind w:firstLine="720"/>
        <w:jc w:val="both"/>
        <w:rPr>
          <w:sz w:val="28"/>
          <w:szCs w:val="28"/>
          <w:lang w:val="pt-BR"/>
        </w:rPr>
      </w:pPr>
      <w:r>
        <w:rPr>
          <w:sz w:val="28"/>
          <w:szCs w:val="28"/>
          <w:lang w:val="pt-BR"/>
        </w:rPr>
        <w:t>a)</w:t>
      </w:r>
      <w:r w:rsidR="008A1B3B" w:rsidRPr="005713FF">
        <w:rPr>
          <w:sz w:val="28"/>
          <w:szCs w:val="28"/>
          <w:lang w:val="pt-BR"/>
        </w:rPr>
        <w:t xml:space="preserve"> </w:t>
      </w:r>
      <w:r>
        <w:rPr>
          <w:sz w:val="28"/>
          <w:szCs w:val="28"/>
          <w:lang w:val="pt-BR"/>
        </w:rPr>
        <w:t>C</w:t>
      </w:r>
      <w:r w:rsidR="008A1B3B" w:rsidRPr="005713FF">
        <w:rPr>
          <w:sz w:val="28"/>
          <w:szCs w:val="28"/>
          <w:lang w:val="pt-BR"/>
        </w:rPr>
        <w:t xml:space="preserve">hỉ đạo, hướng dẫn, phổ biến </w:t>
      </w:r>
      <w:r>
        <w:rPr>
          <w:sz w:val="28"/>
          <w:szCs w:val="28"/>
          <w:lang w:val="pt-BR"/>
        </w:rPr>
        <w:t>và triển khai</w:t>
      </w:r>
      <w:r w:rsidR="008A1B3B" w:rsidRPr="005713FF">
        <w:rPr>
          <w:sz w:val="28"/>
          <w:szCs w:val="28"/>
          <w:lang w:val="pt-BR"/>
        </w:rPr>
        <w:t xml:space="preserve"> thực hiện Thông tư này theo thẩm quyền</w:t>
      </w:r>
      <w:r>
        <w:rPr>
          <w:sz w:val="28"/>
          <w:szCs w:val="28"/>
          <w:lang w:val="pt-BR"/>
        </w:rPr>
        <w:t>;</w:t>
      </w:r>
    </w:p>
    <w:p w14:paraId="47E9DAD1" w14:textId="76701104" w:rsidR="00932B3E" w:rsidRDefault="008E0C08" w:rsidP="00966174">
      <w:pPr>
        <w:widowControl w:val="0"/>
        <w:spacing w:before="120"/>
        <w:ind w:firstLine="720"/>
        <w:jc w:val="both"/>
        <w:rPr>
          <w:sz w:val="28"/>
          <w:szCs w:val="28"/>
          <w:lang w:val="pt-BR"/>
        </w:rPr>
      </w:pPr>
      <w:r>
        <w:rPr>
          <w:sz w:val="28"/>
          <w:szCs w:val="28"/>
          <w:lang w:val="pt-BR"/>
        </w:rPr>
        <w:t xml:space="preserve">b) Xem xét, rà soát, đánh giá nhu cầu thực tiễn và tổng hợp các kiến nghị của các cơ sở khám bệnh chữa bệnh trên địa bàn để đề xuất Bộ Y tế bổ sung, sửa đổi Danh mục thuốc. </w:t>
      </w:r>
    </w:p>
    <w:p w14:paraId="717C6D0C" w14:textId="3EE4826A" w:rsidR="00932B3E" w:rsidRDefault="00A61185" w:rsidP="00966174">
      <w:pPr>
        <w:widowControl w:val="0"/>
        <w:spacing w:before="120"/>
        <w:ind w:firstLine="720"/>
        <w:jc w:val="both"/>
        <w:rPr>
          <w:sz w:val="28"/>
          <w:szCs w:val="28"/>
          <w:lang w:val="pt-BR"/>
        </w:rPr>
      </w:pPr>
      <w:r>
        <w:rPr>
          <w:sz w:val="28"/>
          <w:szCs w:val="28"/>
          <w:lang w:val="pt-BR"/>
        </w:rPr>
        <w:t>3.</w:t>
      </w:r>
      <w:r w:rsidR="008E0C08">
        <w:rPr>
          <w:sz w:val="28"/>
          <w:szCs w:val="28"/>
          <w:lang w:val="pt-BR"/>
        </w:rPr>
        <w:t xml:space="preserve"> Căn cứ nhu cầu thực tiễn và năng lực chuyên môn, cơ sở khám bệnh chữa bệnh đề xuất Sở Y tế (đối với các đơn vị trực thuộc Sở Y tế) hoặc Bộ/ngành chủ quản (đối với các đơn vị trực thuộc Bộ Y tế hoặc y tế Bộ ngành) </w:t>
      </w:r>
      <w:r w:rsidR="00C056DF">
        <w:rPr>
          <w:sz w:val="28"/>
          <w:szCs w:val="28"/>
          <w:lang w:val="pt-BR"/>
        </w:rPr>
        <w:t xml:space="preserve">để đề xuất Bộ Y tế thực hiện </w:t>
      </w:r>
      <w:r w:rsidR="008E0C08">
        <w:rPr>
          <w:sz w:val="28"/>
          <w:szCs w:val="28"/>
          <w:lang w:val="pt-BR"/>
        </w:rPr>
        <w:t>bổ sung, sửa đổi Danh mục thuốc.</w:t>
      </w:r>
    </w:p>
    <w:p w14:paraId="4D705F7E" w14:textId="77777777" w:rsidR="00932B3E" w:rsidRPr="00932B3E" w:rsidRDefault="00932B3E" w:rsidP="00966174">
      <w:pPr>
        <w:widowControl w:val="0"/>
        <w:spacing w:before="120"/>
        <w:ind w:firstLine="720"/>
        <w:jc w:val="both"/>
        <w:rPr>
          <w:b/>
          <w:bCs/>
          <w:sz w:val="28"/>
          <w:szCs w:val="28"/>
          <w:lang w:val="pt-BR"/>
        </w:rPr>
      </w:pPr>
      <w:r w:rsidRPr="00932B3E">
        <w:rPr>
          <w:b/>
          <w:bCs/>
          <w:sz w:val="28"/>
          <w:szCs w:val="28"/>
          <w:lang w:val="pt-BR"/>
        </w:rPr>
        <w:t>Điều 7. Hiệu lực thi hành</w:t>
      </w:r>
    </w:p>
    <w:p w14:paraId="6B0C419B" w14:textId="5BA4E03B" w:rsidR="00A61185" w:rsidRPr="00A61185" w:rsidRDefault="00A61185" w:rsidP="00A61185">
      <w:pPr>
        <w:widowControl w:val="0"/>
        <w:spacing w:before="120" w:after="120"/>
        <w:ind w:firstLine="720"/>
        <w:jc w:val="both"/>
        <w:rPr>
          <w:sz w:val="28"/>
          <w:szCs w:val="28"/>
          <w:lang w:val="pt-BR"/>
        </w:rPr>
      </w:pPr>
      <w:r w:rsidRPr="00A61185">
        <w:rPr>
          <w:sz w:val="28"/>
          <w:szCs w:val="28"/>
          <w:lang w:val="pt-BR"/>
        </w:rPr>
        <w:t xml:space="preserve">1. Thông tư này có hiệu lực thi hành từ ngày </w:t>
      </w:r>
      <w:r w:rsidR="00C056DF">
        <w:rPr>
          <w:sz w:val="28"/>
          <w:szCs w:val="28"/>
          <w:lang w:val="pt-BR"/>
        </w:rPr>
        <w:t>...</w:t>
      </w:r>
      <w:r w:rsidRPr="00A61185">
        <w:rPr>
          <w:sz w:val="28"/>
          <w:szCs w:val="28"/>
          <w:lang w:val="pt-BR"/>
        </w:rPr>
        <w:t xml:space="preserve"> tháng </w:t>
      </w:r>
      <w:r w:rsidR="00C056DF">
        <w:rPr>
          <w:sz w:val="28"/>
          <w:szCs w:val="28"/>
          <w:lang w:val="pt-BR"/>
        </w:rPr>
        <w:t>...</w:t>
      </w:r>
      <w:r w:rsidRPr="00A61185">
        <w:rPr>
          <w:sz w:val="28"/>
          <w:szCs w:val="28"/>
          <w:lang w:val="pt-BR"/>
        </w:rPr>
        <w:t xml:space="preserve"> năm 20</w:t>
      </w:r>
      <w:r>
        <w:rPr>
          <w:sz w:val="28"/>
          <w:szCs w:val="28"/>
          <w:lang w:val="pt-BR"/>
        </w:rPr>
        <w:t>24</w:t>
      </w:r>
      <w:r w:rsidRPr="00A61185">
        <w:rPr>
          <w:sz w:val="28"/>
          <w:szCs w:val="28"/>
          <w:lang w:val="pt-BR"/>
        </w:rPr>
        <w:t>.</w:t>
      </w:r>
    </w:p>
    <w:p w14:paraId="503DD989" w14:textId="77777777" w:rsidR="00A61185" w:rsidRDefault="00A61185" w:rsidP="00A61185">
      <w:pPr>
        <w:widowControl w:val="0"/>
        <w:spacing w:before="120" w:after="120"/>
        <w:ind w:firstLine="720"/>
        <w:jc w:val="both"/>
        <w:rPr>
          <w:sz w:val="28"/>
          <w:szCs w:val="28"/>
          <w:lang w:val="pt-BR"/>
        </w:rPr>
      </w:pPr>
      <w:r w:rsidRPr="00A61185">
        <w:rPr>
          <w:sz w:val="28"/>
          <w:szCs w:val="28"/>
          <w:lang w:val="pt-BR"/>
        </w:rPr>
        <w:t xml:space="preserve">2. </w:t>
      </w:r>
      <w:r>
        <w:rPr>
          <w:sz w:val="28"/>
          <w:szCs w:val="28"/>
          <w:lang w:val="pt-BR"/>
        </w:rPr>
        <w:t xml:space="preserve">Các </w:t>
      </w:r>
      <w:r w:rsidRPr="00A61185">
        <w:rPr>
          <w:sz w:val="28"/>
          <w:szCs w:val="28"/>
          <w:lang w:val="pt-BR"/>
        </w:rPr>
        <w:t xml:space="preserve">quy định liên quan đến </w:t>
      </w:r>
      <w:r>
        <w:rPr>
          <w:sz w:val="28"/>
          <w:szCs w:val="28"/>
          <w:lang w:val="pt-BR"/>
        </w:rPr>
        <w:t>nguyên tắc, tiêu chí xây dựng</w:t>
      </w:r>
      <w:r w:rsidRPr="00932B3E">
        <w:rPr>
          <w:sz w:val="28"/>
          <w:szCs w:val="28"/>
          <w:lang w:val="pt-BR"/>
        </w:rPr>
        <w:t xml:space="preserve"> </w:t>
      </w:r>
      <w:r w:rsidRPr="00A61185">
        <w:rPr>
          <w:sz w:val="28"/>
          <w:szCs w:val="28"/>
          <w:lang w:val="pt-BR"/>
        </w:rPr>
        <w:t>Danh mục và tỷ lệ, điều kiện thanh toán đối với thuốc hóa dược, sinh phẩm, thuốc phóng xạ và chất đánh dấu thuộc phạm vi được hưởng của người tham gia bảo hiểm y tế hết hiệu lực thi hành kể từ ngày Thông tư này có hiệu lực.</w:t>
      </w:r>
    </w:p>
    <w:tbl>
      <w:tblPr>
        <w:tblW w:w="0" w:type="auto"/>
        <w:tblLook w:val="04A0" w:firstRow="1" w:lastRow="0" w:firstColumn="1" w:lastColumn="0" w:noHBand="0" w:noVBand="1"/>
      </w:tblPr>
      <w:tblGrid>
        <w:gridCol w:w="4530"/>
        <w:gridCol w:w="4542"/>
      </w:tblGrid>
      <w:tr w:rsidR="00C056DF" w14:paraId="37FC0CD5" w14:textId="77777777">
        <w:tc>
          <w:tcPr>
            <w:tcW w:w="4644" w:type="dxa"/>
            <w:shd w:val="clear" w:color="auto" w:fill="auto"/>
          </w:tcPr>
          <w:p w14:paraId="6FCF2AEB" w14:textId="77777777" w:rsidR="00C056DF" w:rsidRPr="00CC11CC" w:rsidRDefault="00C056DF">
            <w:pPr>
              <w:widowControl w:val="0"/>
              <w:spacing w:before="120" w:after="120"/>
              <w:rPr>
                <w:lang w:val="pt-BR"/>
              </w:rPr>
            </w:pPr>
            <w:r w:rsidRPr="00CC11CC">
              <w:rPr>
                <w:b/>
                <w:bCs/>
                <w:i/>
                <w:iCs/>
                <w:color w:val="000000"/>
                <w:shd w:val="clear" w:color="auto" w:fill="FFFFFF"/>
              </w:rPr>
              <w:t>Nơi nhận:</w:t>
            </w:r>
            <w:r w:rsidRPr="00CC11CC">
              <w:rPr>
                <w:b/>
                <w:bCs/>
                <w:color w:val="000000"/>
                <w:shd w:val="clear" w:color="auto" w:fill="FFFFFF"/>
              </w:rPr>
              <w:br/>
            </w:r>
            <w:r w:rsidRPr="00CC11CC">
              <w:rPr>
                <w:color w:val="000000"/>
                <w:shd w:val="clear" w:color="auto" w:fill="FFFFFF"/>
              </w:rPr>
              <w:t>- Ủy ban Xã hội của Quốc hội (để báo cáo);</w:t>
            </w:r>
            <w:r w:rsidRPr="00CC11CC">
              <w:rPr>
                <w:color w:val="000000"/>
                <w:shd w:val="clear" w:color="auto" w:fill="FFFFFF"/>
              </w:rPr>
              <w:br/>
              <w:t>- Thủ tướng Chính phủ (để báo cáo);</w:t>
            </w:r>
            <w:r w:rsidRPr="00CC11CC">
              <w:rPr>
                <w:color w:val="000000"/>
                <w:shd w:val="clear" w:color="auto" w:fill="FFFFFF"/>
              </w:rPr>
              <w:br/>
              <w:t>- PTTgCP. Vũ Đức Đam (để báo cáo);</w:t>
            </w:r>
            <w:r w:rsidRPr="00CC11CC">
              <w:rPr>
                <w:color w:val="000000"/>
                <w:shd w:val="clear" w:color="auto" w:fill="FFFFFF"/>
              </w:rPr>
              <w:br/>
              <w:t>- Bộ trưởng (để báo cáo);</w:t>
            </w:r>
            <w:r w:rsidRPr="00CC11CC">
              <w:rPr>
                <w:color w:val="000000"/>
                <w:shd w:val="clear" w:color="auto" w:fill="FFFFFF"/>
              </w:rPr>
              <w:br/>
              <w:t>- Các Thứ trưởng (để phối hợp chỉ đạo);</w:t>
            </w:r>
            <w:r w:rsidRPr="00CC11CC">
              <w:rPr>
                <w:color w:val="000000"/>
                <w:shd w:val="clear" w:color="auto" w:fill="FFFFFF"/>
              </w:rPr>
              <w:br/>
            </w:r>
            <w:r w:rsidRPr="00CC11CC">
              <w:rPr>
                <w:color w:val="000000"/>
                <w:shd w:val="clear" w:color="auto" w:fill="FFFFFF"/>
              </w:rPr>
              <w:lastRenderedPageBreak/>
              <w:t>- Văn phòng Chính phủ (Vụ KGVX, Công báo, Cổng TTĐT Chính phủ);</w:t>
            </w:r>
            <w:r w:rsidRPr="00CC11CC">
              <w:rPr>
                <w:color w:val="000000"/>
                <w:shd w:val="clear" w:color="auto" w:fill="FFFFFF"/>
              </w:rPr>
              <w:br/>
              <w:t>- Bộ Tư pháp (Cục Kiểm tra văn bản quy phạm pháp luật);</w:t>
            </w:r>
            <w:r w:rsidRPr="00CC11CC">
              <w:rPr>
                <w:color w:val="000000"/>
                <w:shd w:val="clear" w:color="auto" w:fill="FFFFFF"/>
              </w:rPr>
              <w:br/>
              <w:t>- Bộ Tài chính;</w:t>
            </w:r>
            <w:r w:rsidRPr="00CC11CC">
              <w:rPr>
                <w:color w:val="000000"/>
                <w:shd w:val="clear" w:color="auto" w:fill="FFFFFF"/>
              </w:rPr>
              <w:br/>
              <w:t>- Bảo hiểm xã hội Việt Nam;</w:t>
            </w:r>
            <w:r w:rsidRPr="00CC11CC">
              <w:rPr>
                <w:color w:val="000000"/>
                <w:shd w:val="clear" w:color="auto" w:fill="FFFFFF"/>
              </w:rPr>
              <w:br/>
              <w:t>- UBND các tỉnh, thành phố trực thuộc TW;</w:t>
            </w:r>
            <w:r w:rsidRPr="00CC11CC">
              <w:rPr>
                <w:color w:val="000000"/>
                <w:shd w:val="clear" w:color="auto" w:fill="FFFFFF"/>
              </w:rPr>
              <w:br/>
              <w:t>- Các đơn vị thuộc, trực thuộc Bộ Y tế;</w:t>
            </w:r>
            <w:r w:rsidRPr="00CC11CC">
              <w:rPr>
                <w:color w:val="000000"/>
                <w:shd w:val="clear" w:color="auto" w:fill="FFFFFF"/>
              </w:rPr>
              <w:br/>
              <w:t>- Sở Y tế các tỉnh, thành phố trực thuộc TW;</w:t>
            </w:r>
            <w:r w:rsidRPr="00CC11CC">
              <w:rPr>
                <w:color w:val="000000"/>
                <w:shd w:val="clear" w:color="auto" w:fill="FFFFFF"/>
              </w:rPr>
              <w:br/>
              <w:t>- Y tế các Bộ, ngành;</w:t>
            </w:r>
            <w:r w:rsidRPr="00CC11CC">
              <w:rPr>
                <w:color w:val="000000"/>
                <w:shd w:val="clear" w:color="auto" w:fill="FFFFFF"/>
              </w:rPr>
              <w:br/>
              <w:t>- Hiệp hội Bệnh viện tư nhân Việt Nam;</w:t>
            </w:r>
            <w:r w:rsidRPr="00CC11CC">
              <w:rPr>
                <w:color w:val="000000"/>
                <w:shd w:val="clear" w:color="auto" w:fill="FFFFFF"/>
              </w:rPr>
              <w:br/>
              <w:t>- Cổng Thông tin điện tử Bộ Y tế;</w:t>
            </w:r>
            <w:r w:rsidRPr="00CC11CC">
              <w:rPr>
                <w:color w:val="000000"/>
                <w:shd w:val="clear" w:color="auto" w:fill="FFFFFF"/>
              </w:rPr>
              <w:br/>
              <w:t>- Các cơ sở KCB trên toàn quốc (qua Cổng Thông tin điện tử Bộ Y tế);</w:t>
            </w:r>
            <w:r w:rsidRPr="00CC11CC">
              <w:rPr>
                <w:color w:val="000000"/>
                <w:shd w:val="clear" w:color="auto" w:fill="FFFFFF"/>
              </w:rPr>
              <w:br/>
              <w:t>- Lưu: VT, PC, BH (05).</w:t>
            </w:r>
          </w:p>
        </w:tc>
        <w:tc>
          <w:tcPr>
            <w:tcW w:w="4644" w:type="dxa"/>
            <w:shd w:val="clear" w:color="auto" w:fill="auto"/>
          </w:tcPr>
          <w:p w14:paraId="79AE6484" w14:textId="77777777" w:rsidR="00C056DF" w:rsidRPr="00313CD7" w:rsidRDefault="00C056DF">
            <w:pPr>
              <w:widowControl w:val="0"/>
              <w:spacing w:before="120" w:after="120"/>
              <w:jc w:val="center"/>
              <w:rPr>
                <w:b/>
                <w:bCs/>
                <w:color w:val="000000"/>
                <w:sz w:val="28"/>
                <w:szCs w:val="28"/>
                <w:shd w:val="clear" w:color="auto" w:fill="FFFFFF"/>
              </w:rPr>
            </w:pPr>
            <w:r w:rsidRPr="00313CD7">
              <w:rPr>
                <w:b/>
                <w:bCs/>
                <w:color w:val="000000"/>
                <w:sz w:val="28"/>
                <w:szCs w:val="28"/>
                <w:shd w:val="clear" w:color="auto" w:fill="FFFFFF"/>
              </w:rPr>
              <w:lastRenderedPageBreak/>
              <w:t>BỘ TRƯỞNG</w:t>
            </w:r>
            <w:r w:rsidRPr="00313CD7">
              <w:rPr>
                <w:b/>
                <w:bCs/>
                <w:color w:val="000000"/>
                <w:sz w:val="28"/>
                <w:szCs w:val="28"/>
                <w:shd w:val="clear" w:color="auto" w:fill="FFFFFF"/>
              </w:rPr>
              <w:br/>
            </w:r>
          </w:p>
          <w:p w14:paraId="32531291" w14:textId="77777777" w:rsidR="00C056DF" w:rsidRPr="00313CD7" w:rsidRDefault="00C056DF">
            <w:pPr>
              <w:widowControl w:val="0"/>
              <w:spacing w:before="120" w:after="120"/>
              <w:jc w:val="center"/>
              <w:rPr>
                <w:sz w:val="28"/>
                <w:szCs w:val="28"/>
                <w:lang w:val="pt-BR"/>
              </w:rPr>
            </w:pPr>
            <w:r w:rsidRPr="00CC11CC">
              <w:rPr>
                <w:b/>
                <w:bCs/>
                <w:color w:val="000000"/>
                <w:shd w:val="clear" w:color="auto" w:fill="FFFFFF"/>
              </w:rPr>
              <w:br/>
            </w:r>
            <w:r w:rsidRPr="00CC11CC">
              <w:rPr>
                <w:b/>
                <w:bCs/>
                <w:color w:val="000000"/>
                <w:shd w:val="clear" w:color="auto" w:fill="FFFFFF"/>
              </w:rPr>
              <w:br/>
            </w:r>
            <w:r w:rsidRPr="00CC11CC">
              <w:rPr>
                <w:b/>
                <w:bCs/>
                <w:color w:val="000000"/>
                <w:shd w:val="clear" w:color="auto" w:fill="FFFFFF"/>
              </w:rPr>
              <w:br/>
            </w:r>
            <w:r w:rsidRPr="00CC11CC">
              <w:rPr>
                <w:b/>
                <w:bCs/>
                <w:color w:val="000000"/>
                <w:shd w:val="clear" w:color="auto" w:fill="FFFFFF"/>
              </w:rPr>
              <w:lastRenderedPageBreak/>
              <w:br/>
            </w:r>
            <w:r w:rsidRPr="00CC11CC">
              <w:rPr>
                <w:b/>
                <w:bCs/>
                <w:color w:val="000000"/>
                <w:shd w:val="clear" w:color="auto" w:fill="FFFFFF"/>
              </w:rPr>
              <w:br/>
            </w:r>
            <w:r w:rsidRPr="00313CD7">
              <w:rPr>
                <w:b/>
                <w:bCs/>
                <w:color w:val="000000"/>
                <w:sz w:val="28"/>
                <w:szCs w:val="28"/>
                <w:shd w:val="clear" w:color="auto" w:fill="FFFFFF"/>
              </w:rPr>
              <w:t>Đào Hồng Lan</w:t>
            </w:r>
          </w:p>
        </w:tc>
      </w:tr>
    </w:tbl>
    <w:p w14:paraId="5B851E25" w14:textId="77777777" w:rsidR="00C056DF" w:rsidRPr="00A61185" w:rsidRDefault="00C056DF" w:rsidP="005713FF">
      <w:pPr>
        <w:widowControl w:val="0"/>
        <w:spacing w:before="120" w:after="120"/>
        <w:jc w:val="both"/>
        <w:rPr>
          <w:sz w:val="28"/>
          <w:szCs w:val="28"/>
          <w:lang w:val="pt-BR"/>
        </w:rPr>
      </w:pPr>
    </w:p>
    <w:p w14:paraId="1CE25852" w14:textId="77777777" w:rsidR="0063248D" w:rsidRDefault="0063248D" w:rsidP="00FB2F7D">
      <w:pPr>
        <w:spacing w:before="80"/>
        <w:ind w:firstLine="720"/>
        <w:jc w:val="both"/>
        <w:rPr>
          <w:bCs/>
          <w:color w:val="000000"/>
          <w:sz w:val="28"/>
          <w:szCs w:val="28"/>
        </w:rPr>
      </w:pPr>
    </w:p>
    <w:p w14:paraId="32630454" w14:textId="77777777" w:rsidR="00B478A6" w:rsidRDefault="00B478A6" w:rsidP="00667520">
      <w:pPr>
        <w:jc w:val="center"/>
        <w:rPr>
          <w:b/>
          <w:bCs/>
          <w:sz w:val="28"/>
          <w:szCs w:val="28"/>
        </w:rPr>
      </w:pPr>
    </w:p>
    <w:p w14:paraId="1BA9C962" w14:textId="77777777" w:rsidR="00667520" w:rsidRPr="00DB2476" w:rsidRDefault="00F877DA" w:rsidP="00F877DA">
      <w:pPr>
        <w:jc w:val="center"/>
        <w:rPr>
          <w:sz w:val="28"/>
          <w:szCs w:val="28"/>
        </w:rPr>
      </w:pPr>
      <w:r w:rsidRPr="00DB2476">
        <w:rPr>
          <w:sz w:val="28"/>
          <w:szCs w:val="28"/>
        </w:rPr>
        <w:t xml:space="preserve"> </w:t>
      </w:r>
    </w:p>
    <w:p w14:paraId="5B9F7749" w14:textId="77777777" w:rsidR="00667520" w:rsidRPr="0063248D" w:rsidRDefault="00667520" w:rsidP="00FB2F7D">
      <w:pPr>
        <w:spacing w:before="80"/>
        <w:ind w:firstLine="720"/>
        <w:jc w:val="both"/>
        <w:rPr>
          <w:bCs/>
          <w:color w:val="000000"/>
          <w:sz w:val="28"/>
          <w:szCs w:val="28"/>
        </w:rPr>
      </w:pPr>
    </w:p>
    <w:sectPr w:rsidR="00667520" w:rsidRPr="0063248D" w:rsidSect="00184495">
      <w:headerReference w:type="default" r:id="rId8"/>
      <w:footerReference w:type="default" r:id="rId9"/>
      <w:pgSz w:w="11907" w:h="16840" w:code="9"/>
      <w:pgMar w:top="1134" w:right="1134" w:bottom="1134" w:left="170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4C0C" w14:textId="77777777" w:rsidR="005B3EDC" w:rsidRDefault="005B3EDC" w:rsidP="0069293B">
      <w:r>
        <w:separator/>
      </w:r>
    </w:p>
  </w:endnote>
  <w:endnote w:type="continuationSeparator" w:id="0">
    <w:p w14:paraId="7B7E1B30" w14:textId="77777777" w:rsidR="005B3EDC" w:rsidRDefault="005B3EDC" w:rsidP="0069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02440" w14:textId="77777777" w:rsidR="003B249F" w:rsidRDefault="003B249F" w:rsidP="00601781">
    <w:pPr>
      <w:pStyle w:val="Footer"/>
    </w:pPr>
  </w:p>
  <w:p w14:paraId="547B7C79" w14:textId="77777777" w:rsidR="003B249F" w:rsidRDefault="003B2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24CE4" w14:textId="77777777" w:rsidR="005B3EDC" w:rsidRDefault="005B3EDC" w:rsidP="0069293B">
      <w:r>
        <w:separator/>
      </w:r>
    </w:p>
  </w:footnote>
  <w:footnote w:type="continuationSeparator" w:id="0">
    <w:p w14:paraId="53AA9A20" w14:textId="77777777" w:rsidR="005B3EDC" w:rsidRDefault="005B3EDC" w:rsidP="0069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FF116" w14:textId="77777777" w:rsidR="00184495" w:rsidRDefault="00184495">
    <w:pPr>
      <w:pStyle w:val="Header"/>
      <w:jc w:val="center"/>
    </w:pPr>
  </w:p>
  <w:p w14:paraId="0F10C57E" w14:textId="77777777" w:rsidR="00184495" w:rsidRDefault="00184495">
    <w:pPr>
      <w:pStyle w:val="Header"/>
      <w:jc w:val="center"/>
    </w:pPr>
    <w:r>
      <w:fldChar w:fldCharType="begin"/>
    </w:r>
    <w:r>
      <w:instrText xml:space="preserve"> PAGE   \* MERGEFORMAT </w:instrText>
    </w:r>
    <w:r>
      <w:fldChar w:fldCharType="separate"/>
    </w:r>
    <w:r>
      <w:rPr>
        <w:noProof/>
      </w:rPr>
      <w:t>2</w:t>
    </w:r>
    <w:r>
      <w:rPr>
        <w:noProof/>
      </w:rPr>
      <w:fldChar w:fldCharType="end"/>
    </w:r>
  </w:p>
  <w:p w14:paraId="117526DA" w14:textId="77777777" w:rsidR="00184495" w:rsidRDefault="001844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4B58"/>
    <w:multiLevelType w:val="hybridMultilevel"/>
    <w:tmpl w:val="82FEC2FA"/>
    <w:lvl w:ilvl="0" w:tplc="0C00B830">
      <w:start w:val="4"/>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15:restartNumberingAfterBreak="0">
    <w:nsid w:val="28446211"/>
    <w:multiLevelType w:val="hybridMultilevel"/>
    <w:tmpl w:val="34CCE4F6"/>
    <w:lvl w:ilvl="0" w:tplc="6DC833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384FCA"/>
    <w:multiLevelType w:val="hybridMultilevel"/>
    <w:tmpl w:val="E78EB62C"/>
    <w:lvl w:ilvl="0" w:tplc="0776991A">
      <w:start w:val="1"/>
      <w:numFmt w:val="decimal"/>
      <w:lvlText w:val="%1."/>
      <w:lvlJc w:val="left"/>
      <w:pPr>
        <w:ind w:left="961" w:hanging="36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3" w15:restartNumberingAfterBreak="0">
    <w:nsid w:val="56680C86"/>
    <w:multiLevelType w:val="singleLevel"/>
    <w:tmpl w:val="1F14AA50"/>
    <w:lvl w:ilvl="0">
      <w:start w:val="3"/>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ED3049A"/>
    <w:multiLevelType w:val="hybridMultilevel"/>
    <w:tmpl w:val="AA88C154"/>
    <w:lvl w:ilvl="0" w:tplc="0372AF96">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632973F2"/>
    <w:multiLevelType w:val="hybridMultilevel"/>
    <w:tmpl w:val="83583A70"/>
    <w:lvl w:ilvl="0" w:tplc="00CCD524">
      <w:start w:val="1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6" w15:restartNumberingAfterBreak="0">
    <w:nsid w:val="63642C78"/>
    <w:multiLevelType w:val="hybridMultilevel"/>
    <w:tmpl w:val="9B5EF2CE"/>
    <w:lvl w:ilvl="0" w:tplc="50DA207C">
      <w:start w:val="6"/>
      <w:numFmt w:val="bullet"/>
      <w:lvlText w:val="-"/>
      <w:lvlJc w:val="left"/>
      <w:pPr>
        <w:ind w:left="960" w:hanging="360"/>
      </w:pPr>
      <w:rPr>
        <w:rFonts w:ascii="Times New Roman" w:eastAsia="Calibr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1679848989">
    <w:abstractNumId w:val="3"/>
  </w:num>
  <w:num w:numId="2" w16cid:durableId="375660501">
    <w:abstractNumId w:val="1"/>
  </w:num>
  <w:num w:numId="3" w16cid:durableId="1609459870">
    <w:abstractNumId w:val="5"/>
  </w:num>
  <w:num w:numId="4" w16cid:durableId="958335862">
    <w:abstractNumId w:val="4"/>
  </w:num>
  <w:num w:numId="5" w16cid:durableId="1820608993">
    <w:abstractNumId w:val="2"/>
  </w:num>
  <w:num w:numId="6" w16cid:durableId="1996369197">
    <w:abstractNumId w:val="6"/>
  </w:num>
  <w:num w:numId="7" w16cid:durableId="1166822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US" w:vendorID="64" w:dllVersion="4096" w:nlCheck="1" w:checkStyle="0"/>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284"/>
    <w:rsid w:val="00004709"/>
    <w:rsid w:val="00004D5F"/>
    <w:rsid w:val="00014CE2"/>
    <w:rsid w:val="00015A71"/>
    <w:rsid w:val="00021311"/>
    <w:rsid w:val="00024903"/>
    <w:rsid w:val="000279A2"/>
    <w:rsid w:val="000322F4"/>
    <w:rsid w:val="00033DCD"/>
    <w:rsid w:val="00035759"/>
    <w:rsid w:val="00044B0D"/>
    <w:rsid w:val="00044E8E"/>
    <w:rsid w:val="00045F28"/>
    <w:rsid w:val="000463B4"/>
    <w:rsid w:val="0004699C"/>
    <w:rsid w:val="000502B7"/>
    <w:rsid w:val="00051854"/>
    <w:rsid w:val="00051D5B"/>
    <w:rsid w:val="00052DA0"/>
    <w:rsid w:val="00052DCF"/>
    <w:rsid w:val="00060A78"/>
    <w:rsid w:val="00060E32"/>
    <w:rsid w:val="00061490"/>
    <w:rsid w:val="000616AB"/>
    <w:rsid w:val="00064125"/>
    <w:rsid w:val="00074735"/>
    <w:rsid w:val="00074A47"/>
    <w:rsid w:val="00077BBE"/>
    <w:rsid w:val="00081195"/>
    <w:rsid w:val="00082416"/>
    <w:rsid w:val="00082CD5"/>
    <w:rsid w:val="00085B5A"/>
    <w:rsid w:val="000910AB"/>
    <w:rsid w:val="00091661"/>
    <w:rsid w:val="0009282C"/>
    <w:rsid w:val="00093D46"/>
    <w:rsid w:val="00094313"/>
    <w:rsid w:val="000964BA"/>
    <w:rsid w:val="000A0B71"/>
    <w:rsid w:val="000A0D37"/>
    <w:rsid w:val="000A75D5"/>
    <w:rsid w:val="000A77E3"/>
    <w:rsid w:val="000B0B8E"/>
    <w:rsid w:val="000C1B37"/>
    <w:rsid w:val="000C2053"/>
    <w:rsid w:val="000C36D8"/>
    <w:rsid w:val="000C73DD"/>
    <w:rsid w:val="000D32BC"/>
    <w:rsid w:val="000D373F"/>
    <w:rsid w:val="000D6072"/>
    <w:rsid w:val="000D6937"/>
    <w:rsid w:val="000D6E3F"/>
    <w:rsid w:val="000E0DFD"/>
    <w:rsid w:val="000E2213"/>
    <w:rsid w:val="000E3A93"/>
    <w:rsid w:val="000E5505"/>
    <w:rsid w:val="000E7BD7"/>
    <w:rsid w:val="000F0A82"/>
    <w:rsid w:val="000F0C30"/>
    <w:rsid w:val="000F0C70"/>
    <w:rsid w:val="000F0F16"/>
    <w:rsid w:val="000F283C"/>
    <w:rsid w:val="000F40C9"/>
    <w:rsid w:val="00104044"/>
    <w:rsid w:val="00104784"/>
    <w:rsid w:val="00105699"/>
    <w:rsid w:val="001069FB"/>
    <w:rsid w:val="001122E5"/>
    <w:rsid w:val="00114F06"/>
    <w:rsid w:val="00115322"/>
    <w:rsid w:val="00117145"/>
    <w:rsid w:val="0012038B"/>
    <w:rsid w:val="00130D03"/>
    <w:rsid w:val="00131472"/>
    <w:rsid w:val="001325DA"/>
    <w:rsid w:val="0013342A"/>
    <w:rsid w:val="001342EE"/>
    <w:rsid w:val="00134FAF"/>
    <w:rsid w:val="00135655"/>
    <w:rsid w:val="00144898"/>
    <w:rsid w:val="00152AFB"/>
    <w:rsid w:val="001543B2"/>
    <w:rsid w:val="00154D5B"/>
    <w:rsid w:val="001551D7"/>
    <w:rsid w:val="00157F25"/>
    <w:rsid w:val="001610F8"/>
    <w:rsid w:val="00161A68"/>
    <w:rsid w:val="00162CFA"/>
    <w:rsid w:val="001741FA"/>
    <w:rsid w:val="00177EC4"/>
    <w:rsid w:val="0018165B"/>
    <w:rsid w:val="001816BA"/>
    <w:rsid w:val="00184495"/>
    <w:rsid w:val="00187964"/>
    <w:rsid w:val="00194FBF"/>
    <w:rsid w:val="00195180"/>
    <w:rsid w:val="00197B1B"/>
    <w:rsid w:val="001A7478"/>
    <w:rsid w:val="001B41A9"/>
    <w:rsid w:val="001B432D"/>
    <w:rsid w:val="001B467B"/>
    <w:rsid w:val="001B7C8E"/>
    <w:rsid w:val="001B7DF7"/>
    <w:rsid w:val="001C0004"/>
    <w:rsid w:val="001C2C6E"/>
    <w:rsid w:val="001C39D2"/>
    <w:rsid w:val="001C439F"/>
    <w:rsid w:val="001C6F93"/>
    <w:rsid w:val="001D2967"/>
    <w:rsid w:val="001D5C24"/>
    <w:rsid w:val="001E7671"/>
    <w:rsid w:val="001F2C31"/>
    <w:rsid w:val="001F3D96"/>
    <w:rsid w:val="00206C86"/>
    <w:rsid w:val="00210E12"/>
    <w:rsid w:val="002130C4"/>
    <w:rsid w:val="00217677"/>
    <w:rsid w:val="00220AFA"/>
    <w:rsid w:val="00223BD1"/>
    <w:rsid w:val="00223C12"/>
    <w:rsid w:val="00224274"/>
    <w:rsid w:val="002266A9"/>
    <w:rsid w:val="00230F7B"/>
    <w:rsid w:val="00236759"/>
    <w:rsid w:val="002371DB"/>
    <w:rsid w:val="00240F40"/>
    <w:rsid w:val="002412EC"/>
    <w:rsid w:val="0024714E"/>
    <w:rsid w:val="00247271"/>
    <w:rsid w:val="00250093"/>
    <w:rsid w:val="002628CC"/>
    <w:rsid w:val="00272924"/>
    <w:rsid w:val="00272DCB"/>
    <w:rsid w:val="00275092"/>
    <w:rsid w:val="002753AF"/>
    <w:rsid w:val="0027578D"/>
    <w:rsid w:val="00276288"/>
    <w:rsid w:val="002924CE"/>
    <w:rsid w:val="002936DB"/>
    <w:rsid w:val="00293C7B"/>
    <w:rsid w:val="00294638"/>
    <w:rsid w:val="00295E19"/>
    <w:rsid w:val="002A336A"/>
    <w:rsid w:val="002A6B5D"/>
    <w:rsid w:val="002A6FCB"/>
    <w:rsid w:val="002B2797"/>
    <w:rsid w:val="002C0709"/>
    <w:rsid w:val="002C58F1"/>
    <w:rsid w:val="002C67CC"/>
    <w:rsid w:val="002C6B5C"/>
    <w:rsid w:val="002C7C11"/>
    <w:rsid w:val="002D338C"/>
    <w:rsid w:val="002D5179"/>
    <w:rsid w:val="002D5ABC"/>
    <w:rsid w:val="002E3BD3"/>
    <w:rsid w:val="002F2E04"/>
    <w:rsid w:val="002F4787"/>
    <w:rsid w:val="0030674B"/>
    <w:rsid w:val="003068B3"/>
    <w:rsid w:val="0031115E"/>
    <w:rsid w:val="00313CD7"/>
    <w:rsid w:val="00320365"/>
    <w:rsid w:val="0032050A"/>
    <w:rsid w:val="003210F3"/>
    <w:rsid w:val="003312D2"/>
    <w:rsid w:val="00336465"/>
    <w:rsid w:val="00342C02"/>
    <w:rsid w:val="0034423D"/>
    <w:rsid w:val="00344678"/>
    <w:rsid w:val="00354317"/>
    <w:rsid w:val="003578DE"/>
    <w:rsid w:val="00361761"/>
    <w:rsid w:val="00362BB2"/>
    <w:rsid w:val="00363B61"/>
    <w:rsid w:val="00364719"/>
    <w:rsid w:val="00370516"/>
    <w:rsid w:val="00370545"/>
    <w:rsid w:val="003717B7"/>
    <w:rsid w:val="00374A72"/>
    <w:rsid w:val="00386213"/>
    <w:rsid w:val="0039008F"/>
    <w:rsid w:val="00391E00"/>
    <w:rsid w:val="00392384"/>
    <w:rsid w:val="0039682A"/>
    <w:rsid w:val="00396E0B"/>
    <w:rsid w:val="003A4ECE"/>
    <w:rsid w:val="003B0DE2"/>
    <w:rsid w:val="003B249F"/>
    <w:rsid w:val="003B3AC7"/>
    <w:rsid w:val="003B43CB"/>
    <w:rsid w:val="003B5F61"/>
    <w:rsid w:val="003B69AF"/>
    <w:rsid w:val="003B767F"/>
    <w:rsid w:val="003C149F"/>
    <w:rsid w:val="003C5C38"/>
    <w:rsid w:val="003C6C99"/>
    <w:rsid w:val="003C6EC9"/>
    <w:rsid w:val="003D227F"/>
    <w:rsid w:val="003D75C1"/>
    <w:rsid w:val="003E3332"/>
    <w:rsid w:val="003E5474"/>
    <w:rsid w:val="003E5B99"/>
    <w:rsid w:val="003E7A20"/>
    <w:rsid w:val="003F5AE8"/>
    <w:rsid w:val="00401A4B"/>
    <w:rsid w:val="00404B08"/>
    <w:rsid w:val="00406C13"/>
    <w:rsid w:val="00410143"/>
    <w:rsid w:val="00412C6B"/>
    <w:rsid w:val="00415A3C"/>
    <w:rsid w:val="00415BEE"/>
    <w:rsid w:val="00416279"/>
    <w:rsid w:val="004168AC"/>
    <w:rsid w:val="00420C2A"/>
    <w:rsid w:val="00422F76"/>
    <w:rsid w:val="004327CA"/>
    <w:rsid w:val="00441D38"/>
    <w:rsid w:val="004425B4"/>
    <w:rsid w:val="00451822"/>
    <w:rsid w:val="00456CD0"/>
    <w:rsid w:val="0046068C"/>
    <w:rsid w:val="004631B8"/>
    <w:rsid w:val="00464764"/>
    <w:rsid w:val="00464F08"/>
    <w:rsid w:val="004718C3"/>
    <w:rsid w:val="00472265"/>
    <w:rsid w:val="0047281A"/>
    <w:rsid w:val="00472921"/>
    <w:rsid w:val="00475E6A"/>
    <w:rsid w:val="0048025D"/>
    <w:rsid w:val="00481E40"/>
    <w:rsid w:val="0049433D"/>
    <w:rsid w:val="004A3AFF"/>
    <w:rsid w:val="004B236B"/>
    <w:rsid w:val="004B56CC"/>
    <w:rsid w:val="004B5FDF"/>
    <w:rsid w:val="004B7D29"/>
    <w:rsid w:val="004C52E3"/>
    <w:rsid w:val="004C60B5"/>
    <w:rsid w:val="004C7712"/>
    <w:rsid w:val="004C7E05"/>
    <w:rsid w:val="004D07F8"/>
    <w:rsid w:val="004D2C4E"/>
    <w:rsid w:val="004D4A18"/>
    <w:rsid w:val="004D5AC7"/>
    <w:rsid w:val="004D73A4"/>
    <w:rsid w:val="004E0D2B"/>
    <w:rsid w:val="004E47EB"/>
    <w:rsid w:val="004E6027"/>
    <w:rsid w:val="004E7D2D"/>
    <w:rsid w:val="004F09CB"/>
    <w:rsid w:val="004F339A"/>
    <w:rsid w:val="004F46D2"/>
    <w:rsid w:val="004F483D"/>
    <w:rsid w:val="004F65CF"/>
    <w:rsid w:val="004F7010"/>
    <w:rsid w:val="00500770"/>
    <w:rsid w:val="00501AED"/>
    <w:rsid w:val="00505AB4"/>
    <w:rsid w:val="00507209"/>
    <w:rsid w:val="00510B4E"/>
    <w:rsid w:val="005146DC"/>
    <w:rsid w:val="0051552D"/>
    <w:rsid w:val="0051615A"/>
    <w:rsid w:val="005265AA"/>
    <w:rsid w:val="005278D0"/>
    <w:rsid w:val="005311C8"/>
    <w:rsid w:val="00531D1C"/>
    <w:rsid w:val="00540988"/>
    <w:rsid w:val="00544E2C"/>
    <w:rsid w:val="00551950"/>
    <w:rsid w:val="0055347C"/>
    <w:rsid w:val="005538A0"/>
    <w:rsid w:val="005554E7"/>
    <w:rsid w:val="00556474"/>
    <w:rsid w:val="005574C3"/>
    <w:rsid w:val="00562B70"/>
    <w:rsid w:val="005713FF"/>
    <w:rsid w:val="00573C70"/>
    <w:rsid w:val="00580A82"/>
    <w:rsid w:val="00580B6D"/>
    <w:rsid w:val="005818D2"/>
    <w:rsid w:val="0058443C"/>
    <w:rsid w:val="00584769"/>
    <w:rsid w:val="00594E90"/>
    <w:rsid w:val="005A1AD5"/>
    <w:rsid w:val="005A5D1A"/>
    <w:rsid w:val="005B2EA6"/>
    <w:rsid w:val="005B3017"/>
    <w:rsid w:val="005B389E"/>
    <w:rsid w:val="005B3EDC"/>
    <w:rsid w:val="005B6232"/>
    <w:rsid w:val="005C0C22"/>
    <w:rsid w:val="005C276A"/>
    <w:rsid w:val="005C6C7A"/>
    <w:rsid w:val="005D0480"/>
    <w:rsid w:val="005D243E"/>
    <w:rsid w:val="005D45AA"/>
    <w:rsid w:val="005E065C"/>
    <w:rsid w:val="005E3629"/>
    <w:rsid w:val="005E492A"/>
    <w:rsid w:val="005F0C19"/>
    <w:rsid w:val="005F34CD"/>
    <w:rsid w:val="005F368F"/>
    <w:rsid w:val="005F4E89"/>
    <w:rsid w:val="005F5275"/>
    <w:rsid w:val="005F5EA3"/>
    <w:rsid w:val="005F7267"/>
    <w:rsid w:val="00601781"/>
    <w:rsid w:val="00613A26"/>
    <w:rsid w:val="00614AA0"/>
    <w:rsid w:val="00615682"/>
    <w:rsid w:val="00621510"/>
    <w:rsid w:val="00623160"/>
    <w:rsid w:val="006303A9"/>
    <w:rsid w:val="006309BD"/>
    <w:rsid w:val="00630A5D"/>
    <w:rsid w:val="0063248D"/>
    <w:rsid w:val="0064153D"/>
    <w:rsid w:val="00643807"/>
    <w:rsid w:val="006454A8"/>
    <w:rsid w:val="00652D70"/>
    <w:rsid w:val="0065497C"/>
    <w:rsid w:val="00655304"/>
    <w:rsid w:val="00656081"/>
    <w:rsid w:val="0066247C"/>
    <w:rsid w:val="00662727"/>
    <w:rsid w:val="006641C7"/>
    <w:rsid w:val="00664DAF"/>
    <w:rsid w:val="00666280"/>
    <w:rsid w:val="00666E9E"/>
    <w:rsid w:val="00667520"/>
    <w:rsid w:val="006744AC"/>
    <w:rsid w:val="006835C9"/>
    <w:rsid w:val="00683E3C"/>
    <w:rsid w:val="00685B92"/>
    <w:rsid w:val="00686E39"/>
    <w:rsid w:val="006878B5"/>
    <w:rsid w:val="0069293B"/>
    <w:rsid w:val="00695933"/>
    <w:rsid w:val="00695F64"/>
    <w:rsid w:val="00697B43"/>
    <w:rsid w:val="006B23B4"/>
    <w:rsid w:val="006B31BE"/>
    <w:rsid w:val="006B6665"/>
    <w:rsid w:val="006B7A7A"/>
    <w:rsid w:val="006C39B2"/>
    <w:rsid w:val="006C510C"/>
    <w:rsid w:val="006C6F30"/>
    <w:rsid w:val="006D0ACF"/>
    <w:rsid w:val="006D10E3"/>
    <w:rsid w:val="006D3ADC"/>
    <w:rsid w:val="006D73CB"/>
    <w:rsid w:val="006E442A"/>
    <w:rsid w:val="006E6CD6"/>
    <w:rsid w:val="006F0715"/>
    <w:rsid w:val="006F27D1"/>
    <w:rsid w:val="006F4261"/>
    <w:rsid w:val="006F504C"/>
    <w:rsid w:val="00700180"/>
    <w:rsid w:val="00700618"/>
    <w:rsid w:val="00705F05"/>
    <w:rsid w:val="0070643B"/>
    <w:rsid w:val="00710712"/>
    <w:rsid w:val="007119EE"/>
    <w:rsid w:val="007214FE"/>
    <w:rsid w:val="0072238E"/>
    <w:rsid w:val="00723E31"/>
    <w:rsid w:val="007254FD"/>
    <w:rsid w:val="007268D6"/>
    <w:rsid w:val="00731C6C"/>
    <w:rsid w:val="00734489"/>
    <w:rsid w:val="0074217C"/>
    <w:rsid w:val="00745095"/>
    <w:rsid w:val="00751FF8"/>
    <w:rsid w:val="00756FF2"/>
    <w:rsid w:val="0075775F"/>
    <w:rsid w:val="00760609"/>
    <w:rsid w:val="00764B97"/>
    <w:rsid w:val="00767CD8"/>
    <w:rsid w:val="00770E4C"/>
    <w:rsid w:val="0077551F"/>
    <w:rsid w:val="007816F4"/>
    <w:rsid w:val="007852D0"/>
    <w:rsid w:val="007859D4"/>
    <w:rsid w:val="00791EF3"/>
    <w:rsid w:val="0079540B"/>
    <w:rsid w:val="00795A44"/>
    <w:rsid w:val="00796AEC"/>
    <w:rsid w:val="007A6E0B"/>
    <w:rsid w:val="007A713F"/>
    <w:rsid w:val="007B08F0"/>
    <w:rsid w:val="007C09BD"/>
    <w:rsid w:val="007C19F5"/>
    <w:rsid w:val="007C3B01"/>
    <w:rsid w:val="007C6381"/>
    <w:rsid w:val="007D35D8"/>
    <w:rsid w:val="007D5416"/>
    <w:rsid w:val="007D7690"/>
    <w:rsid w:val="007E41DF"/>
    <w:rsid w:val="007E6FFF"/>
    <w:rsid w:val="007E7BB5"/>
    <w:rsid w:val="007F5AC3"/>
    <w:rsid w:val="00801AA0"/>
    <w:rsid w:val="0080298F"/>
    <w:rsid w:val="00803883"/>
    <w:rsid w:val="008051C6"/>
    <w:rsid w:val="0081036D"/>
    <w:rsid w:val="00811EEC"/>
    <w:rsid w:val="00812ED4"/>
    <w:rsid w:val="00815773"/>
    <w:rsid w:val="008167A4"/>
    <w:rsid w:val="008169EC"/>
    <w:rsid w:val="008206D3"/>
    <w:rsid w:val="00821B6A"/>
    <w:rsid w:val="00831106"/>
    <w:rsid w:val="00834CEB"/>
    <w:rsid w:val="00835B94"/>
    <w:rsid w:val="00840C14"/>
    <w:rsid w:val="0084115B"/>
    <w:rsid w:val="008445E2"/>
    <w:rsid w:val="008447C3"/>
    <w:rsid w:val="0084530A"/>
    <w:rsid w:val="008459D9"/>
    <w:rsid w:val="008475AA"/>
    <w:rsid w:val="008500C3"/>
    <w:rsid w:val="008571E8"/>
    <w:rsid w:val="00857435"/>
    <w:rsid w:val="00861611"/>
    <w:rsid w:val="0086696D"/>
    <w:rsid w:val="00867DD3"/>
    <w:rsid w:val="008749A8"/>
    <w:rsid w:val="008760CA"/>
    <w:rsid w:val="00876B3C"/>
    <w:rsid w:val="00892292"/>
    <w:rsid w:val="008971EE"/>
    <w:rsid w:val="008A1B3B"/>
    <w:rsid w:val="008A3872"/>
    <w:rsid w:val="008A5920"/>
    <w:rsid w:val="008C325F"/>
    <w:rsid w:val="008C3504"/>
    <w:rsid w:val="008C3B15"/>
    <w:rsid w:val="008C6D29"/>
    <w:rsid w:val="008D4EF5"/>
    <w:rsid w:val="008D5AB3"/>
    <w:rsid w:val="008D741A"/>
    <w:rsid w:val="008E0C08"/>
    <w:rsid w:val="008E438B"/>
    <w:rsid w:val="008F0393"/>
    <w:rsid w:val="008F1B5C"/>
    <w:rsid w:val="008F280C"/>
    <w:rsid w:val="008F2951"/>
    <w:rsid w:val="008F4DDC"/>
    <w:rsid w:val="008F6519"/>
    <w:rsid w:val="00907ED7"/>
    <w:rsid w:val="00913D89"/>
    <w:rsid w:val="009162F5"/>
    <w:rsid w:val="00924B0B"/>
    <w:rsid w:val="009317D5"/>
    <w:rsid w:val="00931A8A"/>
    <w:rsid w:val="00932284"/>
    <w:rsid w:val="00932B3E"/>
    <w:rsid w:val="00936B9A"/>
    <w:rsid w:val="00942A2A"/>
    <w:rsid w:val="00946263"/>
    <w:rsid w:val="00951886"/>
    <w:rsid w:val="009518BF"/>
    <w:rsid w:val="00960A0A"/>
    <w:rsid w:val="00960FC8"/>
    <w:rsid w:val="00962D70"/>
    <w:rsid w:val="00962FD7"/>
    <w:rsid w:val="00963457"/>
    <w:rsid w:val="00966174"/>
    <w:rsid w:val="009711F3"/>
    <w:rsid w:val="00971405"/>
    <w:rsid w:val="00971852"/>
    <w:rsid w:val="00974E96"/>
    <w:rsid w:val="00976F97"/>
    <w:rsid w:val="00981683"/>
    <w:rsid w:val="009837ED"/>
    <w:rsid w:val="009867E6"/>
    <w:rsid w:val="00987281"/>
    <w:rsid w:val="009953D1"/>
    <w:rsid w:val="00995536"/>
    <w:rsid w:val="00995CC2"/>
    <w:rsid w:val="009A3E1C"/>
    <w:rsid w:val="009A5BF6"/>
    <w:rsid w:val="009C22E4"/>
    <w:rsid w:val="009C354A"/>
    <w:rsid w:val="009C3E37"/>
    <w:rsid w:val="009C4918"/>
    <w:rsid w:val="009C609C"/>
    <w:rsid w:val="009C6F03"/>
    <w:rsid w:val="009D1DA4"/>
    <w:rsid w:val="009D7C16"/>
    <w:rsid w:val="009E3C99"/>
    <w:rsid w:val="009E7EE2"/>
    <w:rsid w:val="009F14C2"/>
    <w:rsid w:val="009F2A09"/>
    <w:rsid w:val="009F3B3F"/>
    <w:rsid w:val="009F3B8D"/>
    <w:rsid w:val="009F4812"/>
    <w:rsid w:val="009F4BB0"/>
    <w:rsid w:val="009F5431"/>
    <w:rsid w:val="00A0031E"/>
    <w:rsid w:val="00A04BB4"/>
    <w:rsid w:val="00A05F99"/>
    <w:rsid w:val="00A149A0"/>
    <w:rsid w:val="00A154A4"/>
    <w:rsid w:val="00A2730A"/>
    <w:rsid w:val="00A37CB3"/>
    <w:rsid w:val="00A405DE"/>
    <w:rsid w:val="00A40D6C"/>
    <w:rsid w:val="00A451C2"/>
    <w:rsid w:val="00A47827"/>
    <w:rsid w:val="00A61185"/>
    <w:rsid w:val="00A61A85"/>
    <w:rsid w:val="00A637A0"/>
    <w:rsid w:val="00A63E51"/>
    <w:rsid w:val="00A65322"/>
    <w:rsid w:val="00A65DB8"/>
    <w:rsid w:val="00A67ECB"/>
    <w:rsid w:val="00A73611"/>
    <w:rsid w:val="00A813DF"/>
    <w:rsid w:val="00A8142C"/>
    <w:rsid w:val="00A8415F"/>
    <w:rsid w:val="00A9215F"/>
    <w:rsid w:val="00A927C9"/>
    <w:rsid w:val="00A95A7F"/>
    <w:rsid w:val="00AA0700"/>
    <w:rsid w:val="00AA0E95"/>
    <w:rsid w:val="00AA54D9"/>
    <w:rsid w:val="00AB28D2"/>
    <w:rsid w:val="00AB670E"/>
    <w:rsid w:val="00AC3FBF"/>
    <w:rsid w:val="00AC4517"/>
    <w:rsid w:val="00AC54F2"/>
    <w:rsid w:val="00AD148A"/>
    <w:rsid w:val="00AD2874"/>
    <w:rsid w:val="00AD396F"/>
    <w:rsid w:val="00AD3B6F"/>
    <w:rsid w:val="00AD4171"/>
    <w:rsid w:val="00AD666E"/>
    <w:rsid w:val="00AF04F2"/>
    <w:rsid w:val="00AF0570"/>
    <w:rsid w:val="00AF6D2E"/>
    <w:rsid w:val="00B0005A"/>
    <w:rsid w:val="00B03968"/>
    <w:rsid w:val="00B074F6"/>
    <w:rsid w:val="00B111C6"/>
    <w:rsid w:val="00B11AE5"/>
    <w:rsid w:val="00B217BA"/>
    <w:rsid w:val="00B23693"/>
    <w:rsid w:val="00B2573B"/>
    <w:rsid w:val="00B32E4C"/>
    <w:rsid w:val="00B32F23"/>
    <w:rsid w:val="00B33627"/>
    <w:rsid w:val="00B357A7"/>
    <w:rsid w:val="00B35E74"/>
    <w:rsid w:val="00B42F5F"/>
    <w:rsid w:val="00B43D39"/>
    <w:rsid w:val="00B4762C"/>
    <w:rsid w:val="00B478A6"/>
    <w:rsid w:val="00B50627"/>
    <w:rsid w:val="00B51B98"/>
    <w:rsid w:val="00B5256C"/>
    <w:rsid w:val="00B54DDD"/>
    <w:rsid w:val="00B62767"/>
    <w:rsid w:val="00B6525B"/>
    <w:rsid w:val="00B65F29"/>
    <w:rsid w:val="00B666D9"/>
    <w:rsid w:val="00B718CC"/>
    <w:rsid w:val="00B76E53"/>
    <w:rsid w:val="00B85515"/>
    <w:rsid w:val="00B91EF2"/>
    <w:rsid w:val="00B92BEE"/>
    <w:rsid w:val="00B94FFE"/>
    <w:rsid w:val="00B96F32"/>
    <w:rsid w:val="00B97C91"/>
    <w:rsid w:val="00BA04F8"/>
    <w:rsid w:val="00BA0883"/>
    <w:rsid w:val="00BA38F2"/>
    <w:rsid w:val="00BB2BD1"/>
    <w:rsid w:val="00BB5273"/>
    <w:rsid w:val="00BB6E4D"/>
    <w:rsid w:val="00BC46D7"/>
    <w:rsid w:val="00BC5FBA"/>
    <w:rsid w:val="00BC7CB2"/>
    <w:rsid w:val="00BD18F4"/>
    <w:rsid w:val="00BD2530"/>
    <w:rsid w:val="00BE0AF0"/>
    <w:rsid w:val="00BE518A"/>
    <w:rsid w:val="00BE5AF2"/>
    <w:rsid w:val="00BF501E"/>
    <w:rsid w:val="00BF5A46"/>
    <w:rsid w:val="00C0094B"/>
    <w:rsid w:val="00C01177"/>
    <w:rsid w:val="00C047C3"/>
    <w:rsid w:val="00C056DF"/>
    <w:rsid w:val="00C15774"/>
    <w:rsid w:val="00C177FC"/>
    <w:rsid w:val="00C22192"/>
    <w:rsid w:val="00C23558"/>
    <w:rsid w:val="00C23951"/>
    <w:rsid w:val="00C24021"/>
    <w:rsid w:val="00C24057"/>
    <w:rsid w:val="00C27AF4"/>
    <w:rsid w:val="00C308A9"/>
    <w:rsid w:val="00C324C5"/>
    <w:rsid w:val="00C34A98"/>
    <w:rsid w:val="00C37046"/>
    <w:rsid w:val="00C43835"/>
    <w:rsid w:val="00C45508"/>
    <w:rsid w:val="00C459B8"/>
    <w:rsid w:val="00C53A0C"/>
    <w:rsid w:val="00C53B8A"/>
    <w:rsid w:val="00C55D9A"/>
    <w:rsid w:val="00C666AE"/>
    <w:rsid w:val="00C822AD"/>
    <w:rsid w:val="00C87C50"/>
    <w:rsid w:val="00C93E43"/>
    <w:rsid w:val="00CA10CF"/>
    <w:rsid w:val="00CA4E72"/>
    <w:rsid w:val="00CA518E"/>
    <w:rsid w:val="00CA7DEE"/>
    <w:rsid w:val="00CC11CC"/>
    <w:rsid w:val="00CC15CF"/>
    <w:rsid w:val="00CC173E"/>
    <w:rsid w:val="00CC6AB3"/>
    <w:rsid w:val="00CD39D7"/>
    <w:rsid w:val="00CD5803"/>
    <w:rsid w:val="00CD631C"/>
    <w:rsid w:val="00CE0E37"/>
    <w:rsid w:val="00CE2BFA"/>
    <w:rsid w:val="00CF5D0A"/>
    <w:rsid w:val="00CF6336"/>
    <w:rsid w:val="00CF6487"/>
    <w:rsid w:val="00CF6B5E"/>
    <w:rsid w:val="00CF7D0E"/>
    <w:rsid w:val="00D0121F"/>
    <w:rsid w:val="00D01B47"/>
    <w:rsid w:val="00D03582"/>
    <w:rsid w:val="00D05909"/>
    <w:rsid w:val="00D076EA"/>
    <w:rsid w:val="00D12AA3"/>
    <w:rsid w:val="00D15751"/>
    <w:rsid w:val="00D219A9"/>
    <w:rsid w:val="00D229B2"/>
    <w:rsid w:val="00D27551"/>
    <w:rsid w:val="00D3301B"/>
    <w:rsid w:val="00D363E2"/>
    <w:rsid w:val="00D363F8"/>
    <w:rsid w:val="00D45D1E"/>
    <w:rsid w:val="00D50E39"/>
    <w:rsid w:val="00D51864"/>
    <w:rsid w:val="00D5285C"/>
    <w:rsid w:val="00D546E6"/>
    <w:rsid w:val="00D61D29"/>
    <w:rsid w:val="00D61EA4"/>
    <w:rsid w:val="00D62329"/>
    <w:rsid w:val="00D653CA"/>
    <w:rsid w:val="00D74E57"/>
    <w:rsid w:val="00D76A34"/>
    <w:rsid w:val="00D81B5A"/>
    <w:rsid w:val="00D83076"/>
    <w:rsid w:val="00D91D97"/>
    <w:rsid w:val="00D92777"/>
    <w:rsid w:val="00D94373"/>
    <w:rsid w:val="00DA385E"/>
    <w:rsid w:val="00DB1ECB"/>
    <w:rsid w:val="00DB2529"/>
    <w:rsid w:val="00DB619C"/>
    <w:rsid w:val="00DB6333"/>
    <w:rsid w:val="00DC2D4B"/>
    <w:rsid w:val="00DD22D5"/>
    <w:rsid w:val="00DD2319"/>
    <w:rsid w:val="00DD3448"/>
    <w:rsid w:val="00DD6071"/>
    <w:rsid w:val="00DD6A1F"/>
    <w:rsid w:val="00DD7893"/>
    <w:rsid w:val="00DE031B"/>
    <w:rsid w:val="00DE3FE0"/>
    <w:rsid w:val="00DE5E30"/>
    <w:rsid w:val="00DF2DE7"/>
    <w:rsid w:val="00DF341E"/>
    <w:rsid w:val="00E063B6"/>
    <w:rsid w:val="00E10A78"/>
    <w:rsid w:val="00E15FC0"/>
    <w:rsid w:val="00E214D1"/>
    <w:rsid w:val="00E26E1B"/>
    <w:rsid w:val="00E3103F"/>
    <w:rsid w:val="00E32705"/>
    <w:rsid w:val="00E371B1"/>
    <w:rsid w:val="00E46815"/>
    <w:rsid w:val="00E4702B"/>
    <w:rsid w:val="00E5019B"/>
    <w:rsid w:val="00E5111B"/>
    <w:rsid w:val="00E5112E"/>
    <w:rsid w:val="00E53285"/>
    <w:rsid w:val="00E63A63"/>
    <w:rsid w:val="00E71D68"/>
    <w:rsid w:val="00E72B01"/>
    <w:rsid w:val="00E73112"/>
    <w:rsid w:val="00E83DE6"/>
    <w:rsid w:val="00E871A6"/>
    <w:rsid w:val="00E91558"/>
    <w:rsid w:val="00E94F15"/>
    <w:rsid w:val="00EA248D"/>
    <w:rsid w:val="00EA3B42"/>
    <w:rsid w:val="00EA47F3"/>
    <w:rsid w:val="00EA703C"/>
    <w:rsid w:val="00EA761A"/>
    <w:rsid w:val="00EB09A3"/>
    <w:rsid w:val="00EB31C8"/>
    <w:rsid w:val="00EB4214"/>
    <w:rsid w:val="00EB5320"/>
    <w:rsid w:val="00EB6CCC"/>
    <w:rsid w:val="00EC4473"/>
    <w:rsid w:val="00EC59E1"/>
    <w:rsid w:val="00EC69ED"/>
    <w:rsid w:val="00EC6AC9"/>
    <w:rsid w:val="00ED2303"/>
    <w:rsid w:val="00EE2D77"/>
    <w:rsid w:val="00EF2765"/>
    <w:rsid w:val="00EF2D70"/>
    <w:rsid w:val="00EF32EA"/>
    <w:rsid w:val="00EF5CFF"/>
    <w:rsid w:val="00EF7DF8"/>
    <w:rsid w:val="00F00789"/>
    <w:rsid w:val="00F024C7"/>
    <w:rsid w:val="00F11E73"/>
    <w:rsid w:val="00F12367"/>
    <w:rsid w:val="00F12641"/>
    <w:rsid w:val="00F13510"/>
    <w:rsid w:val="00F148E3"/>
    <w:rsid w:val="00F20C60"/>
    <w:rsid w:val="00F317E7"/>
    <w:rsid w:val="00F33B4F"/>
    <w:rsid w:val="00F35AA2"/>
    <w:rsid w:val="00F40CF3"/>
    <w:rsid w:val="00F4168F"/>
    <w:rsid w:val="00F43BDC"/>
    <w:rsid w:val="00F44DCD"/>
    <w:rsid w:val="00F45B5A"/>
    <w:rsid w:val="00F52202"/>
    <w:rsid w:val="00F52440"/>
    <w:rsid w:val="00F53853"/>
    <w:rsid w:val="00F55A19"/>
    <w:rsid w:val="00F576C9"/>
    <w:rsid w:val="00F622E7"/>
    <w:rsid w:val="00F666F0"/>
    <w:rsid w:val="00F678F7"/>
    <w:rsid w:val="00F81498"/>
    <w:rsid w:val="00F8313B"/>
    <w:rsid w:val="00F84B0E"/>
    <w:rsid w:val="00F85D15"/>
    <w:rsid w:val="00F877DA"/>
    <w:rsid w:val="00F87AC5"/>
    <w:rsid w:val="00F92B23"/>
    <w:rsid w:val="00F94B05"/>
    <w:rsid w:val="00FA0D79"/>
    <w:rsid w:val="00FA1163"/>
    <w:rsid w:val="00FA3A91"/>
    <w:rsid w:val="00FA50CF"/>
    <w:rsid w:val="00FA7696"/>
    <w:rsid w:val="00FB2F7D"/>
    <w:rsid w:val="00FB3BE0"/>
    <w:rsid w:val="00FB6171"/>
    <w:rsid w:val="00FB6349"/>
    <w:rsid w:val="00FC3239"/>
    <w:rsid w:val="00FC3716"/>
    <w:rsid w:val="00FC4DDE"/>
    <w:rsid w:val="00FC6165"/>
    <w:rsid w:val="00FD248C"/>
    <w:rsid w:val="00FD7F92"/>
    <w:rsid w:val="00FE05A3"/>
    <w:rsid w:val="00FE19A0"/>
    <w:rsid w:val="00FE41A3"/>
    <w:rsid w:val="00FE5C12"/>
    <w:rsid w:val="00FF1526"/>
    <w:rsid w:val="00FF3996"/>
    <w:rsid w:val="00FF6006"/>
    <w:rsid w:val="00FF615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998322"/>
  <w15:chartTrackingRefBased/>
  <w15:docId w15:val="{043C0CE1-DBBC-4156-9D85-1FCFB725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3CB"/>
    <w:rPr>
      <w:sz w:val="24"/>
      <w:szCs w:val="24"/>
      <w:lang w:val="en-US" w:eastAsia="en-US"/>
    </w:rPr>
  </w:style>
  <w:style w:type="paragraph" w:styleId="Heading1">
    <w:name w:val="heading 1"/>
    <w:basedOn w:val="Normal"/>
    <w:next w:val="Normal"/>
    <w:qFormat/>
    <w:pPr>
      <w:keepNext/>
      <w:jc w:val="center"/>
      <w:outlineLvl w:val="0"/>
    </w:pPr>
    <w:rPr>
      <w:rFonts w:ascii=".VnTime" w:hAnsi=".VnTime"/>
      <w:i/>
      <w:sz w:val="28"/>
      <w:szCs w:val="20"/>
    </w:rPr>
  </w:style>
  <w:style w:type="paragraph" w:styleId="Heading2">
    <w:name w:val="heading 2"/>
    <w:basedOn w:val="Normal"/>
    <w:next w:val="Normal"/>
    <w:qFormat/>
    <w:pPr>
      <w:keepNext/>
      <w:outlineLvl w:val="1"/>
    </w:pPr>
    <w:rPr>
      <w:rFonts w:ascii=".VnTime" w:hAnsi=".VnTime"/>
      <w:i/>
      <w:iCs/>
      <w:sz w:val="28"/>
      <w:szCs w:val="26"/>
    </w:rPr>
  </w:style>
  <w:style w:type="paragraph" w:styleId="Heading3">
    <w:name w:val="heading 3"/>
    <w:basedOn w:val="Normal"/>
    <w:next w:val="Normal"/>
    <w:link w:val="Heading3Char"/>
    <w:qFormat/>
    <w:pPr>
      <w:keepNext/>
      <w:outlineLvl w:val="2"/>
    </w:pPr>
    <w:rPr>
      <w:rFonts w:ascii=".VnTimeH" w:hAnsi=".VnTimeH"/>
      <w:sz w:val="28"/>
      <w:szCs w:val="20"/>
    </w:rPr>
  </w:style>
  <w:style w:type="paragraph" w:styleId="Heading4">
    <w:name w:val="heading 4"/>
    <w:basedOn w:val="Normal"/>
    <w:next w:val="Normal"/>
    <w:link w:val="Heading4Char"/>
    <w:qFormat/>
    <w:pPr>
      <w:keepNext/>
      <w:jc w:val="center"/>
      <w:outlineLvl w:val="3"/>
    </w:pPr>
    <w:rPr>
      <w:rFonts w:ascii=".VnTimeH" w:hAnsi=".VnTimeH"/>
      <w:b/>
      <w:sz w:val="22"/>
      <w:szCs w:val="20"/>
    </w:rPr>
  </w:style>
  <w:style w:type="paragraph" w:styleId="Heading5">
    <w:name w:val="heading 5"/>
    <w:basedOn w:val="Normal"/>
    <w:next w:val="Normal"/>
    <w:qFormat/>
    <w:pPr>
      <w:keepNext/>
      <w:jc w:val="center"/>
      <w:outlineLvl w:val="4"/>
    </w:pPr>
    <w:rPr>
      <w:rFonts w:ascii=".VnTime" w:hAnsi=".VnTime"/>
      <w:b/>
      <w:szCs w:val="20"/>
    </w:rPr>
  </w:style>
  <w:style w:type="paragraph" w:styleId="Heading6">
    <w:name w:val="heading 6"/>
    <w:basedOn w:val="Normal"/>
    <w:next w:val="Normal"/>
    <w:link w:val="Heading6Char"/>
    <w:qFormat/>
    <w:pPr>
      <w:keepNext/>
      <w:jc w:val="center"/>
      <w:outlineLvl w:val="5"/>
    </w:pPr>
    <w:rPr>
      <w:rFonts w:ascii=".VnTime" w:hAnsi=".VnTime"/>
      <w:b/>
      <w:sz w:val="28"/>
      <w:szCs w:val="20"/>
    </w:rPr>
  </w:style>
  <w:style w:type="paragraph" w:styleId="Heading7">
    <w:name w:val="heading 7"/>
    <w:basedOn w:val="Normal"/>
    <w:next w:val="Normal"/>
    <w:qFormat/>
    <w:pPr>
      <w:keepNext/>
      <w:jc w:val="center"/>
      <w:outlineLvl w:val="6"/>
    </w:pPr>
    <w:rPr>
      <w:rFonts w:ascii=".VnTimeH" w:hAnsi=".VnTimeH"/>
      <w:b/>
      <w:sz w:val="26"/>
      <w:szCs w:val="20"/>
    </w:rPr>
  </w:style>
  <w:style w:type="paragraph" w:styleId="Heading9">
    <w:name w:val="heading 9"/>
    <w:basedOn w:val="Normal"/>
    <w:next w:val="Normal"/>
    <w:qFormat/>
    <w:rsid w:val="00D27551"/>
    <w:pPr>
      <w:keepNext/>
      <w:ind w:firstLine="120"/>
      <w:jc w:val="center"/>
      <w:outlineLvl w:val="8"/>
    </w:pPr>
    <w:rPr>
      <w:rFonts w:ascii=".VnTime" w:hAnsi=".VnTim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VnTime" w:hAnsi=".VnTime"/>
      <w:sz w:val="28"/>
    </w:rPr>
  </w:style>
  <w:style w:type="paragraph" w:styleId="BodyTextIndent">
    <w:name w:val="Body Text Indent"/>
    <w:basedOn w:val="Normal"/>
    <w:link w:val="BodyTextIndentChar"/>
    <w:rsid w:val="00B76E53"/>
    <w:pPr>
      <w:spacing w:before="120"/>
      <w:ind w:firstLine="720"/>
      <w:jc w:val="both"/>
    </w:pPr>
    <w:rPr>
      <w:rFonts w:ascii=".VnTime" w:hAnsi=".VnTime"/>
      <w:sz w:val="28"/>
      <w:szCs w:val="20"/>
    </w:rPr>
  </w:style>
  <w:style w:type="character" w:customStyle="1" w:styleId="Heading4Char">
    <w:name w:val="Heading 4 Char"/>
    <w:link w:val="Heading4"/>
    <w:rsid w:val="00573C70"/>
    <w:rPr>
      <w:rFonts w:ascii=".VnTimeH" w:hAnsi=".VnTimeH"/>
      <w:b/>
      <w:sz w:val="22"/>
    </w:rPr>
  </w:style>
  <w:style w:type="character" w:customStyle="1" w:styleId="Heading6Char">
    <w:name w:val="Heading 6 Char"/>
    <w:link w:val="Heading6"/>
    <w:rsid w:val="00573C70"/>
    <w:rPr>
      <w:rFonts w:ascii=".VnTime" w:hAnsi=".VnTime"/>
      <w:b/>
      <w:sz w:val="28"/>
    </w:rPr>
  </w:style>
  <w:style w:type="table" w:styleId="TableGrid">
    <w:name w:val="Table Grid"/>
    <w:basedOn w:val="TableNormal"/>
    <w:rsid w:val="00412C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69293B"/>
    <w:pPr>
      <w:tabs>
        <w:tab w:val="center" w:pos="4680"/>
        <w:tab w:val="right" w:pos="9360"/>
      </w:tabs>
    </w:pPr>
  </w:style>
  <w:style w:type="character" w:customStyle="1" w:styleId="HeaderChar">
    <w:name w:val="Header Char"/>
    <w:link w:val="Header"/>
    <w:uiPriority w:val="99"/>
    <w:rsid w:val="0069293B"/>
    <w:rPr>
      <w:sz w:val="24"/>
      <w:szCs w:val="24"/>
    </w:rPr>
  </w:style>
  <w:style w:type="paragraph" w:styleId="Footer">
    <w:name w:val="footer"/>
    <w:basedOn w:val="Normal"/>
    <w:link w:val="FooterChar"/>
    <w:uiPriority w:val="99"/>
    <w:rsid w:val="0069293B"/>
    <w:pPr>
      <w:tabs>
        <w:tab w:val="center" w:pos="4680"/>
        <w:tab w:val="right" w:pos="9360"/>
      </w:tabs>
    </w:pPr>
  </w:style>
  <w:style w:type="character" w:customStyle="1" w:styleId="FooterChar">
    <w:name w:val="Footer Char"/>
    <w:link w:val="Footer"/>
    <w:uiPriority w:val="99"/>
    <w:rsid w:val="0069293B"/>
    <w:rPr>
      <w:sz w:val="24"/>
      <w:szCs w:val="24"/>
    </w:rPr>
  </w:style>
  <w:style w:type="character" w:customStyle="1" w:styleId="BodyTextIndentChar">
    <w:name w:val="Body Text Indent Char"/>
    <w:link w:val="BodyTextIndent"/>
    <w:rsid w:val="00152AFB"/>
    <w:rPr>
      <w:rFonts w:ascii=".VnTime" w:hAnsi=".VnTime"/>
      <w:sz w:val="28"/>
    </w:rPr>
  </w:style>
  <w:style w:type="paragraph" w:customStyle="1" w:styleId="05NidungVB">
    <w:name w:val="05 Nội dung VB"/>
    <w:basedOn w:val="Normal"/>
    <w:rsid w:val="00064125"/>
    <w:pPr>
      <w:widowControl w:val="0"/>
      <w:spacing w:after="120" w:line="400" w:lineRule="atLeast"/>
      <w:ind w:firstLine="567"/>
      <w:jc w:val="both"/>
    </w:pPr>
    <w:rPr>
      <w:sz w:val="28"/>
      <w:szCs w:val="28"/>
    </w:rPr>
  </w:style>
  <w:style w:type="character" w:customStyle="1" w:styleId="Heading3Char">
    <w:name w:val="Heading 3 Char"/>
    <w:link w:val="Heading3"/>
    <w:rsid w:val="007119EE"/>
    <w:rPr>
      <w:rFonts w:ascii=".VnTimeH" w:hAnsi=".VnTimeH"/>
      <w:sz w:val="28"/>
    </w:rPr>
  </w:style>
  <w:style w:type="paragraph" w:styleId="ListParagraph">
    <w:name w:val="List Paragraph"/>
    <w:basedOn w:val="Normal"/>
    <w:uiPriority w:val="34"/>
    <w:qFormat/>
    <w:rsid w:val="007119EE"/>
    <w:pPr>
      <w:spacing w:after="200" w:line="276" w:lineRule="auto"/>
      <w:ind w:left="720"/>
      <w:contextualSpacing/>
    </w:pPr>
    <w:rPr>
      <w:rFonts w:eastAsia="Calibri"/>
      <w:sz w:val="28"/>
      <w:szCs w:val="22"/>
    </w:rPr>
  </w:style>
  <w:style w:type="paragraph" w:styleId="Subtitle">
    <w:name w:val="Subtitle"/>
    <w:basedOn w:val="Normal"/>
    <w:link w:val="SubtitleChar"/>
    <w:qFormat/>
    <w:rsid w:val="003B43CB"/>
    <w:pPr>
      <w:jc w:val="center"/>
    </w:pPr>
    <w:rPr>
      <w:rFonts w:ascii=".VnTimeH" w:hAnsi=".VnTimeH" w:cs=".VnTimeH"/>
      <w:b/>
      <w:bCs/>
      <w:sz w:val="28"/>
      <w:szCs w:val="28"/>
    </w:rPr>
  </w:style>
  <w:style w:type="character" w:customStyle="1" w:styleId="SubtitleChar">
    <w:name w:val="Subtitle Char"/>
    <w:link w:val="Subtitle"/>
    <w:rsid w:val="003B43CB"/>
    <w:rPr>
      <w:rFonts w:ascii=".VnTimeH" w:hAnsi=".VnTimeH" w:cs=".VnTimeH"/>
      <w:b/>
      <w:bCs/>
      <w:sz w:val="28"/>
      <w:szCs w:val="28"/>
      <w:lang w:val="en-US" w:eastAsia="en-US"/>
    </w:rPr>
  </w:style>
  <w:style w:type="character" w:customStyle="1" w:styleId="fontstyle01">
    <w:name w:val="fontstyle01"/>
    <w:rsid w:val="003B43CB"/>
    <w:rPr>
      <w:rFonts w:ascii="Times New Roman" w:hAnsi="Times New Roman" w:cs="Times New Roman" w:hint="default"/>
      <w:b w:val="0"/>
      <w:bCs w:val="0"/>
      <w:i w:val="0"/>
      <w:iCs w:val="0"/>
      <w:color w:val="000000"/>
      <w:sz w:val="28"/>
      <w:szCs w:val="28"/>
    </w:rPr>
  </w:style>
  <w:style w:type="character" w:customStyle="1" w:styleId="fontstyle21">
    <w:name w:val="fontstyle21"/>
    <w:rsid w:val="003B43CB"/>
    <w:rPr>
      <w:rFonts w:ascii="Times New Roman" w:hAnsi="Times New Roman" w:cs="Times New Roman" w:hint="default"/>
      <w:b w:val="0"/>
      <w:bCs w:val="0"/>
      <w:i/>
      <w:iCs/>
      <w:color w:val="000000"/>
      <w:sz w:val="28"/>
      <w:szCs w:val="28"/>
    </w:rPr>
  </w:style>
  <w:style w:type="paragraph" w:styleId="Revision">
    <w:name w:val="Revision"/>
    <w:hidden/>
    <w:uiPriority w:val="99"/>
    <w:semiHidden/>
    <w:rsid w:val="00E871A6"/>
    <w:rPr>
      <w:sz w:val="24"/>
      <w:szCs w:val="24"/>
      <w:lang w:val="en-US" w:eastAsia="en-US"/>
    </w:rPr>
  </w:style>
  <w:style w:type="character" w:styleId="CommentReference">
    <w:name w:val="annotation reference"/>
    <w:rsid w:val="00E871A6"/>
    <w:rPr>
      <w:sz w:val="16"/>
      <w:szCs w:val="16"/>
    </w:rPr>
  </w:style>
  <w:style w:type="paragraph" w:styleId="CommentText">
    <w:name w:val="annotation text"/>
    <w:basedOn w:val="Normal"/>
    <w:link w:val="CommentTextChar"/>
    <w:rsid w:val="00E871A6"/>
    <w:rPr>
      <w:sz w:val="20"/>
      <w:szCs w:val="20"/>
    </w:rPr>
  </w:style>
  <w:style w:type="character" w:customStyle="1" w:styleId="CommentTextChar">
    <w:name w:val="Comment Text Char"/>
    <w:basedOn w:val="DefaultParagraphFont"/>
    <w:link w:val="CommentText"/>
    <w:rsid w:val="00E871A6"/>
  </w:style>
  <w:style w:type="paragraph" w:styleId="CommentSubject">
    <w:name w:val="annotation subject"/>
    <w:basedOn w:val="CommentText"/>
    <w:next w:val="CommentText"/>
    <w:link w:val="CommentSubjectChar"/>
    <w:rsid w:val="00E871A6"/>
    <w:rPr>
      <w:b/>
      <w:bCs/>
    </w:rPr>
  </w:style>
  <w:style w:type="character" w:customStyle="1" w:styleId="CommentSubjectChar">
    <w:name w:val="Comment Subject Char"/>
    <w:link w:val="CommentSubject"/>
    <w:rsid w:val="00E87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A829E-D559-4F6C-A8D2-F090C6F42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1843</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Vô Bo hiÓm y tÕ</vt:lpstr>
    </vt:vector>
  </TitlesOfParts>
  <Company>Vu Bao hiem - Bo Y te</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Bo hiÓm y tÕ</dc:title>
  <dc:subject/>
  <dc:creator>Trinh Nghia</dc:creator>
  <cp:keywords/>
  <dc:description/>
  <cp:lastModifiedBy>Dong Duy Truong</cp:lastModifiedBy>
  <cp:revision>11</cp:revision>
  <cp:lastPrinted>2017-06-27T09:00:00Z</cp:lastPrinted>
  <dcterms:created xsi:type="dcterms:W3CDTF">2023-10-05T01:25:00Z</dcterms:created>
  <dcterms:modified xsi:type="dcterms:W3CDTF">2023-10-05T04:44:00Z</dcterms:modified>
</cp:coreProperties>
</file>